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4" w:rsidRDefault="009D4AC8">
      <w:r>
        <w:t>Meeting Notes</w:t>
      </w:r>
      <w:r>
        <w:tab/>
      </w:r>
      <w:r>
        <w:tab/>
        <w:t>April 4</w:t>
      </w:r>
      <w:r w:rsidR="005474E4">
        <w:t>,2013</w:t>
      </w:r>
    </w:p>
    <w:p w:rsidR="005474E4" w:rsidRDefault="005474E4">
      <w:r>
        <w:t>Atten</w:t>
      </w:r>
      <w:r w:rsidR="00106BA3">
        <w:t>dees: Stephen Kaye,</w:t>
      </w:r>
      <w:r>
        <w:t xml:space="preserve"> </w:t>
      </w:r>
      <w:r w:rsidR="00672B88">
        <w:t xml:space="preserve">Roger Smith, </w:t>
      </w:r>
      <w:r>
        <w:t>Pravin Chordia, Mahesh Burse</w:t>
      </w:r>
    </w:p>
    <w:p w:rsidR="00074FEB" w:rsidRDefault="00074FEB">
      <w:pPr>
        <w:rPr>
          <w:b/>
        </w:rPr>
      </w:pPr>
      <w:r w:rsidRPr="00074FEB">
        <w:rPr>
          <w:b/>
        </w:rPr>
        <w:t>Minutes</w:t>
      </w:r>
    </w:p>
    <w:p w:rsidR="000826CA" w:rsidRDefault="000826CA" w:rsidP="00074FEB">
      <w:pPr>
        <w:pStyle w:val="ListParagraph"/>
        <w:numPr>
          <w:ilvl w:val="0"/>
          <w:numId w:val="1"/>
        </w:numPr>
      </w:pPr>
      <w:r>
        <w:t>IUCAA posted their own milestones document and it was briefly looked over</w:t>
      </w:r>
    </w:p>
    <w:p w:rsidR="000826CA" w:rsidRDefault="000826CA" w:rsidP="00074FEB">
      <w:pPr>
        <w:pStyle w:val="ListParagraph"/>
        <w:numPr>
          <w:ilvl w:val="0"/>
          <w:numId w:val="1"/>
        </w:numPr>
      </w:pPr>
      <w:r>
        <w:t>Caltech needs some time to look over the IUCAA milestones document and will respond to it</w:t>
      </w:r>
    </w:p>
    <w:p w:rsidR="000826CA" w:rsidRDefault="000826CA" w:rsidP="00074FEB">
      <w:pPr>
        <w:pStyle w:val="ListParagraph"/>
        <w:numPr>
          <w:ilvl w:val="0"/>
          <w:numId w:val="1"/>
        </w:numPr>
      </w:pPr>
      <w:r>
        <w:t>IUCAA will attach dates to the schedule items.  These dates only need to be accurate to a 3 month time frame (i.e. quarterly).  This will help to rank the items in terms of importance and define an order of completion.  Also each item in milestone list will have a description of level of maturity.</w:t>
      </w:r>
    </w:p>
    <w:p w:rsidR="000826CA" w:rsidRDefault="000826CA" w:rsidP="00074FEB">
      <w:pPr>
        <w:pStyle w:val="ListParagraph"/>
        <w:numPr>
          <w:ilvl w:val="0"/>
          <w:numId w:val="1"/>
        </w:numPr>
      </w:pPr>
      <w:r>
        <w:t>Caltech needs to identify the interconnect scheme for the controller when it is on the telescope.  This interface includes wiring and harnessing and enclosure for the IUCAA boards.</w:t>
      </w:r>
    </w:p>
    <w:p w:rsidR="000826CA" w:rsidRDefault="000826CA" w:rsidP="00074FEB">
      <w:pPr>
        <w:pStyle w:val="ListParagraph"/>
        <w:numPr>
          <w:ilvl w:val="0"/>
          <w:numId w:val="1"/>
        </w:numPr>
      </w:pPr>
      <w:r>
        <w:t xml:space="preserve">Caltech has two competing concepts for the testing.  </w:t>
      </w:r>
      <w:r w:rsidR="006F5E85">
        <w:t>One uses external equipment to collect data concerning the bias/clock voltages and the other uses the controller ADC to collect data concer</w:t>
      </w:r>
      <w:r w:rsidR="00BC79AD">
        <w:t>n</w:t>
      </w:r>
      <w:r w:rsidR="006F5E85">
        <w:t>ing the bias/clock voltages.  T</w:t>
      </w:r>
      <w:r>
        <w:t>he Requirements and Testing document needs to be revised to reflect the single concept of using the controller ADC to acquire data for the bias</w:t>
      </w:r>
      <w:r w:rsidR="006F5E85">
        <w:t>/clock</w:t>
      </w:r>
      <w:r>
        <w:t xml:space="preserve"> voltage measurements.</w:t>
      </w:r>
    </w:p>
    <w:p w:rsidR="006F5E85" w:rsidRDefault="000826CA" w:rsidP="006F5E85">
      <w:pPr>
        <w:pStyle w:val="ListParagraph"/>
        <w:numPr>
          <w:ilvl w:val="0"/>
          <w:numId w:val="1"/>
        </w:numPr>
      </w:pPr>
      <w:r>
        <w:t>IUCAA will review the Requirements and Testing document to identify where</w:t>
      </w:r>
      <w:r w:rsidR="006F5E85">
        <w:t xml:space="preserve"> the document suggests using external data acquisition equipment.</w:t>
      </w:r>
    </w:p>
    <w:p w:rsidR="00A52EBC" w:rsidRDefault="00A52EBC" w:rsidP="006F5E85">
      <w:pPr>
        <w:pStyle w:val="ListParagraph"/>
        <w:numPr>
          <w:ilvl w:val="0"/>
          <w:numId w:val="1"/>
        </w:numPr>
      </w:pPr>
      <w:r>
        <w:t>Caltech needs to identify where matching resistors are necessary in differential design.  A note should also be made as to whether resistors need to match or resistor ratios need to match.</w:t>
      </w:r>
    </w:p>
    <w:p w:rsidR="00393130" w:rsidRDefault="00393130" w:rsidP="006F5E85">
      <w:pPr>
        <w:pStyle w:val="ListParagraph"/>
        <w:numPr>
          <w:ilvl w:val="0"/>
          <w:numId w:val="1"/>
        </w:numPr>
      </w:pPr>
      <w:r>
        <w:t>Caltech will make a single table of noise contributions for the proposed analog signal chain</w:t>
      </w:r>
    </w:p>
    <w:p w:rsidR="005866C0" w:rsidRDefault="005866C0" w:rsidP="006F5E85">
      <w:pPr>
        <w:pStyle w:val="ListParagraph"/>
        <w:numPr>
          <w:ilvl w:val="0"/>
          <w:numId w:val="1"/>
        </w:numPr>
      </w:pPr>
      <w:r>
        <w:t>Further development of logic required after the ADC is necessary.  A table of input and output schemes for programmable logic device will be made with advantages/disadvantages.</w:t>
      </w:r>
    </w:p>
    <w:p w:rsidR="005866C0" w:rsidRDefault="005866C0" w:rsidP="006F5E85">
      <w:pPr>
        <w:pStyle w:val="ListParagraph"/>
        <w:numPr>
          <w:ilvl w:val="0"/>
          <w:numId w:val="1"/>
        </w:numPr>
      </w:pPr>
      <w:r>
        <w:t>IUCAA posed questions regarding the preamplifier</w:t>
      </w:r>
    </w:p>
    <w:p w:rsidR="005866C0" w:rsidRDefault="005866C0" w:rsidP="005866C0">
      <w:pPr>
        <w:pStyle w:val="ListParagraph"/>
        <w:numPr>
          <w:ilvl w:val="1"/>
          <w:numId w:val="1"/>
        </w:numPr>
      </w:pPr>
      <w:r>
        <w:t>The gain bandwidth product of the op-amp for the preamplifier is marginal.  This will be reviewed by Caltech</w:t>
      </w:r>
    </w:p>
    <w:p w:rsidR="005866C0" w:rsidRDefault="005866C0" w:rsidP="005866C0">
      <w:pPr>
        <w:pStyle w:val="ListParagraph"/>
        <w:numPr>
          <w:ilvl w:val="1"/>
          <w:numId w:val="1"/>
        </w:numPr>
      </w:pPr>
      <w:r>
        <w:t>Thermal consideration for preamplifier needs to be looked into</w:t>
      </w:r>
    </w:p>
    <w:p w:rsidR="0056241D" w:rsidRDefault="0056241D" w:rsidP="0056241D">
      <w:pPr>
        <w:pStyle w:val="ListParagraph"/>
        <w:numPr>
          <w:ilvl w:val="0"/>
          <w:numId w:val="1"/>
        </w:numPr>
      </w:pPr>
      <w:r>
        <w:t>IUCAA suggested a faster ADC which is pin compatible to the AD7625.  The 10 MSPS ADC is the AD7626 and will be reviewed by Caltech</w:t>
      </w:r>
    </w:p>
    <w:p w:rsidR="0056241D" w:rsidRDefault="0056241D" w:rsidP="0056241D">
      <w:pPr>
        <w:pStyle w:val="ListParagraph"/>
        <w:numPr>
          <w:ilvl w:val="0"/>
          <w:numId w:val="1"/>
        </w:numPr>
      </w:pPr>
      <w:r>
        <w:t>Bias voltages were programmed by IUCAA and were tested, but more careful testing of the loading needs to be done.</w:t>
      </w:r>
    </w:p>
    <w:p w:rsidR="00BC79AD" w:rsidRDefault="00BC79AD" w:rsidP="0056241D">
      <w:pPr>
        <w:pStyle w:val="ListParagraph"/>
        <w:numPr>
          <w:ilvl w:val="0"/>
          <w:numId w:val="1"/>
        </w:numPr>
      </w:pPr>
      <w:r>
        <w:t>Caltech will make improvements to the twiki</w:t>
      </w:r>
    </w:p>
    <w:p w:rsidR="00A52EBC" w:rsidRDefault="00A52EBC" w:rsidP="00A52EBC"/>
    <w:p w:rsidR="00A52EBC" w:rsidRDefault="00A52EBC" w:rsidP="00A52EBC"/>
    <w:p w:rsidR="00BC79AD" w:rsidRDefault="00BC79AD" w:rsidP="000C367B">
      <w:pPr>
        <w:rPr>
          <w:b/>
        </w:rPr>
      </w:pPr>
    </w:p>
    <w:p w:rsidR="00BC79AD" w:rsidRDefault="00BC79AD" w:rsidP="000C367B">
      <w:pPr>
        <w:rPr>
          <w:b/>
        </w:rPr>
      </w:pPr>
    </w:p>
    <w:p w:rsidR="000C367B" w:rsidRDefault="000C367B" w:rsidP="000C367B">
      <w:pPr>
        <w:rPr>
          <w:b/>
        </w:rPr>
      </w:pPr>
      <w:r w:rsidRPr="000C367B">
        <w:rPr>
          <w:b/>
        </w:rPr>
        <w:lastRenderedPageBreak/>
        <w:t>Action Items</w:t>
      </w:r>
    </w:p>
    <w:p w:rsidR="004B4BA9" w:rsidRDefault="004B4BA9" w:rsidP="004B4BA9">
      <w:pPr>
        <w:ind w:left="720"/>
        <w:rPr>
          <w:b/>
        </w:rPr>
      </w:pPr>
      <w:r w:rsidRPr="00B63636">
        <w:rPr>
          <w:b/>
        </w:rPr>
        <w:t>IUCAA</w:t>
      </w:r>
    </w:p>
    <w:p w:rsidR="004B4BA9" w:rsidRDefault="00BC79AD" w:rsidP="004B4BA9">
      <w:pPr>
        <w:pStyle w:val="ListParagraph"/>
        <w:numPr>
          <w:ilvl w:val="1"/>
          <w:numId w:val="1"/>
        </w:numPr>
      </w:pPr>
      <w:r>
        <w:t>Will provide rough dates for the milestone document.</w:t>
      </w:r>
    </w:p>
    <w:p w:rsidR="00BC79AD" w:rsidRDefault="00BC79AD" w:rsidP="004B4BA9">
      <w:pPr>
        <w:pStyle w:val="ListParagraph"/>
        <w:numPr>
          <w:ilvl w:val="1"/>
          <w:numId w:val="1"/>
        </w:numPr>
      </w:pPr>
      <w:r>
        <w:t>Will provide a description of the level of maturity of milestone items.</w:t>
      </w:r>
    </w:p>
    <w:p w:rsidR="00EB6C17" w:rsidRDefault="00EB6C17" w:rsidP="004B4BA9">
      <w:pPr>
        <w:pStyle w:val="ListParagraph"/>
        <w:numPr>
          <w:ilvl w:val="1"/>
          <w:numId w:val="1"/>
        </w:numPr>
      </w:pPr>
      <w:r>
        <w:t xml:space="preserve">Identify the sections in the testing document which suggest </w:t>
      </w:r>
      <w:r w:rsidR="00803EA8">
        <w:t>external data acquisition equipment</w:t>
      </w:r>
    </w:p>
    <w:p w:rsidR="00AA1017" w:rsidRDefault="00803EA8" w:rsidP="00803EA8">
      <w:pPr>
        <w:pStyle w:val="ListParagraph"/>
        <w:numPr>
          <w:ilvl w:val="1"/>
          <w:numId w:val="1"/>
        </w:numPr>
      </w:pPr>
      <w:r>
        <w:t>Perform more careful testing of the loading performance of the bias voltages</w:t>
      </w:r>
    </w:p>
    <w:p w:rsidR="000C367B" w:rsidRPr="000C367B" w:rsidRDefault="000C367B" w:rsidP="000C367B">
      <w:pPr>
        <w:rPr>
          <w:b/>
        </w:rPr>
      </w:pPr>
      <w:r>
        <w:rPr>
          <w:b/>
        </w:rPr>
        <w:tab/>
        <w:t>Caltech</w:t>
      </w:r>
    </w:p>
    <w:p w:rsidR="009408DD" w:rsidRDefault="00E86459" w:rsidP="000C367B">
      <w:pPr>
        <w:pStyle w:val="ListParagraph"/>
        <w:numPr>
          <w:ilvl w:val="1"/>
          <w:numId w:val="1"/>
        </w:numPr>
      </w:pPr>
      <w:r>
        <w:t>Will look over IUCAA’s milestone document</w:t>
      </w:r>
    </w:p>
    <w:p w:rsidR="00E86459" w:rsidRDefault="00E86459" w:rsidP="000C367B">
      <w:pPr>
        <w:pStyle w:val="ListParagraph"/>
        <w:numPr>
          <w:ilvl w:val="1"/>
          <w:numId w:val="1"/>
        </w:numPr>
      </w:pPr>
      <w:r>
        <w:t>Will develop the interconnect scheme for the controller</w:t>
      </w:r>
    </w:p>
    <w:p w:rsidR="00E86459" w:rsidRDefault="00E86459" w:rsidP="000C367B">
      <w:pPr>
        <w:pStyle w:val="ListParagraph"/>
        <w:numPr>
          <w:ilvl w:val="1"/>
          <w:numId w:val="1"/>
        </w:numPr>
      </w:pPr>
      <w:r>
        <w:t>Will develop an enclosure design for the IUCAA boards</w:t>
      </w:r>
    </w:p>
    <w:p w:rsidR="0020023D" w:rsidRDefault="0020023D" w:rsidP="000C367B">
      <w:pPr>
        <w:pStyle w:val="ListParagraph"/>
        <w:numPr>
          <w:ilvl w:val="1"/>
          <w:numId w:val="1"/>
        </w:numPr>
      </w:pPr>
      <w:r>
        <w:t>Identify component matching requirements in design</w:t>
      </w:r>
    </w:p>
    <w:p w:rsidR="00805D75" w:rsidRDefault="0020023D" w:rsidP="000C367B">
      <w:pPr>
        <w:pStyle w:val="ListParagraph"/>
        <w:numPr>
          <w:ilvl w:val="1"/>
          <w:numId w:val="1"/>
        </w:numPr>
      </w:pPr>
      <w:r>
        <w:t xml:space="preserve">Make a single table of noise contributions in the signal chain </w:t>
      </w:r>
    </w:p>
    <w:p w:rsidR="00805D75" w:rsidRDefault="0020023D" w:rsidP="000C367B">
      <w:pPr>
        <w:pStyle w:val="ListParagraph"/>
        <w:numPr>
          <w:ilvl w:val="1"/>
          <w:numId w:val="1"/>
        </w:numPr>
      </w:pPr>
      <w:r>
        <w:t>Further develop the gate array logic after the ADC in the video post processor</w:t>
      </w:r>
    </w:p>
    <w:p w:rsidR="000C367B" w:rsidRDefault="00803EA8" w:rsidP="004B4BA9">
      <w:pPr>
        <w:pStyle w:val="ListParagraph"/>
        <w:numPr>
          <w:ilvl w:val="1"/>
          <w:numId w:val="1"/>
        </w:numPr>
      </w:pPr>
      <w:r>
        <w:t>Review the op-amp used for the preamplifier and choose one which isn’t marginal</w:t>
      </w:r>
    </w:p>
    <w:p w:rsidR="006C32A0" w:rsidRPr="00803EA8" w:rsidRDefault="00803EA8" w:rsidP="00803EA8">
      <w:pPr>
        <w:pStyle w:val="ListParagraph"/>
        <w:numPr>
          <w:ilvl w:val="1"/>
          <w:numId w:val="1"/>
        </w:numPr>
      </w:pPr>
      <w:r>
        <w:t>Improve the twiki</w:t>
      </w:r>
      <w:bookmarkStart w:id="0" w:name="_GoBack"/>
      <w:bookmarkEnd w:id="0"/>
    </w:p>
    <w:sectPr w:rsidR="006C32A0" w:rsidRPr="008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FFA"/>
    <w:multiLevelType w:val="hybridMultilevel"/>
    <w:tmpl w:val="DF6A9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24A3"/>
    <w:multiLevelType w:val="hybridMultilevel"/>
    <w:tmpl w:val="BCAA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5F"/>
    <w:multiLevelType w:val="hybridMultilevel"/>
    <w:tmpl w:val="CC4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4F3"/>
    <w:multiLevelType w:val="hybridMultilevel"/>
    <w:tmpl w:val="D09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5BFB"/>
    <w:multiLevelType w:val="hybridMultilevel"/>
    <w:tmpl w:val="CB20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358"/>
    <w:multiLevelType w:val="hybridMultilevel"/>
    <w:tmpl w:val="BB0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4"/>
    <w:rsid w:val="000270D9"/>
    <w:rsid w:val="00074FEB"/>
    <w:rsid w:val="000826CA"/>
    <w:rsid w:val="000C1C94"/>
    <w:rsid w:val="000C2EB4"/>
    <w:rsid w:val="000C367B"/>
    <w:rsid w:val="000E2BC5"/>
    <w:rsid w:val="000F7B3E"/>
    <w:rsid w:val="00106BA3"/>
    <w:rsid w:val="00120EA6"/>
    <w:rsid w:val="0013416A"/>
    <w:rsid w:val="001B35AB"/>
    <w:rsid w:val="001C3658"/>
    <w:rsid w:val="0020023D"/>
    <w:rsid w:val="002416BA"/>
    <w:rsid w:val="00244A04"/>
    <w:rsid w:val="00265CEB"/>
    <w:rsid w:val="00341FAD"/>
    <w:rsid w:val="00393130"/>
    <w:rsid w:val="003F665D"/>
    <w:rsid w:val="00403A09"/>
    <w:rsid w:val="00457494"/>
    <w:rsid w:val="00491A39"/>
    <w:rsid w:val="004B4BA9"/>
    <w:rsid w:val="005329D6"/>
    <w:rsid w:val="0054100A"/>
    <w:rsid w:val="00545409"/>
    <w:rsid w:val="005474E4"/>
    <w:rsid w:val="0056241D"/>
    <w:rsid w:val="005866C0"/>
    <w:rsid w:val="005D65A3"/>
    <w:rsid w:val="005E5255"/>
    <w:rsid w:val="00606AE5"/>
    <w:rsid w:val="0061456A"/>
    <w:rsid w:val="00626FC4"/>
    <w:rsid w:val="00672B88"/>
    <w:rsid w:val="00691F1C"/>
    <w:rsid w:val="006C32A0"/>
    <w:rsid w:val="006C5908"/>
    <w:rsid w:val="006F53AA"/>
    <w:rsid w:val="006F5E85"/>
    <w:rsid w:val="00713443"/>
    <w:rsid w:val="007A2D95"/>
    <w:rsid w:val="007C58F9"/>
    <w:rsid w:val="00803EA8"/>
    <w:rsid w:val="00805D75"/>
    <w:rsid w:val="00856E0C"/>
    <w:rsid w:val="0092111F"/>
    <w:rsid w:val="009408DD"/>
    <w:rsid w:val="00941579"/>
    <w:rsid w:val="009D4AC8"/>
    <w:rsid w:val="00A3167E"/>
    <w:rsid w:val="00A52EBC"/>
    <w:rsid w:val="00A72837"/>
    <w:rsid w:val="00AA1017"/>
    <w:rsid w:val="00AC464F"/>
    <w:rsid w:val="00AE1C55"/>
    <w:rsid w:val="00B04407"/>
    <w:rsid w:val="00B04AAA"/>
    <w:rsid w:val="00B344E8"/>
    <w:rsid w:val="00B63636"/>
    <w:rsid w:val="00B65049"/>
    <w:rsid w:val="00BC79AD"/>
    <w:rsid w:val="00C062FE"/>
    <w:rsid w:val="00C164C0"/>
    <w:rsid w:val="00C17393"/>
    <w:rsid w:val="00C82768"/>
    <w:rsid w:val="00C96441"/>
    <w:rsid w:val="00CB3D94"/>
    <w:rsid w:val="00D07677"/>
    <w:rsid w:val="00D1510E"/>
    <w:rsid w:val="00D176F9"/>
    <w:rsid w:val="00D50AC4"/>
    <w:rsid w:val="00D92679"/>
    <w:rsid w:val="00D97EC7"/>
    <w:rsid w:val="00DA30CD"/>
    <w:rsid w:val="00DC500B"/>
    <w:rsid w:val="00E20A76"/>
    <w:rsid w:val="00E86459"/>
    <w:rsid w:val="00E96E4D"/>
    <w:rsid w:val="00EA1993"/>
    <w:rsid w:val="00EB6C17"/>
    <w:rsid w:val="00ED794D"/>
    <w:rsid w:val="00F427BD"/>
    <w:rsid w:val="00F502B1"/>
    <w:rsid w:val="00F81089"/>
    <w:rsid w:val="00F90D02"/>
    <w:rsid w:val="00F9367D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11</cp:revision>
  <dcterms:created xsi:type="dcterms:W3CDTF">2013-04-04T18:29:00Z</dcterms:created>
  <dcterms:modified xsi:type="dcterms:W3CDTF">2013-04-04T19:03:00Z</dcterms:modified>
</cp:coreProperties>
</file>