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F1E" w:rsidRDefault="0063330F" w:rsidP="0063330F">
      <w:pPr>
        <w:jc w:val="center"/>
      </w:pPr>
      <w:r>
        <w:t>Keck Adaptive Optics Note 1003</w:t>
      </w:r>
    </w:p>
    <w:p w:rsidR="00EC51A2" w:rsidRDefault="0063330F" w:rsidP="00EC51A2">
      <w:pPr>
        <w:jc w:val="center"/>
        <w:rPr>
          <w:b/>
        </w:rPr>
      </w:pPr>
      <w:r>
        <w:rPr>
          <w:b/>
          <w:sz w:val="32"/>
          <w:szCs w:val="32"/>
        </w:rPr>
        <w:t>Near-Infrared Tip-Tilt Sensor System</w:t>
      </w:r>
    </w:p>
    <w:p w:rsidR="0063330F" w:rsidRDefault="001B33B5" w:rsidP="00EC51A2">
      <w:pPr>
        <w:jc w:val="center"/>
        <w:rPr>
          <w:b/>
        </w:rPr>
      </w:pPr>
      <w:r>
        <w:rPr>
          <w:b/>
        </w:rPr>
        <w:t xml:space="preserve">Packing &amp; </w:t>
      </w:r>
      <w:r w:rsidR="00361741">
        <w:rPr>
          <w:b/>
        </w:rPr>
        <w:t>Shipping</w:t>
      </w:r>
      <w:r w:rsidR="0063330F">
        <w:rPr>
          <w:b/>
        </w:rPr>
        <w:t xml:space="preserve"> Review Report</w:t>
      </w:r>
    </w:p>
    <w:p w:rsidR="0063330F" w:rsidRDefault="0063330F" w:rsidP="00EC51A2">
      <w:pPr>
        <w:jc w:val="center"/>
        <w:rPr>
          <w:sz w:val="20"/>
          <w:szCs w:val="20"/>
        </w:rPr>
      </w:pPr>
      <w:r>
        <w:rPr>
          <w:sz w:val="20"/>
          <w:szCs w:val="20"/>
        </w:rPr>
        <w:t xml:space="preserve">R. </w:t>
      </w:r>
      <w:proofErr w:type="spellStart"/>
      <w:r>
        <w:rPr>
          <w:sz w:val="20"/>
          <w:szCs w:val="20"/>
        </w:rPr>
        <w:t>Dekany</w:t>
      </w:r>
      <w:proofErr w:type="spellEnd"/>
      <w:r>
        <w:rPr>
          <w:sz w:val="20"/>
          <w:szCs w:val="20"/>
        </w:rPr>
        <w:t xml:space="preserve">, R. Smith, D. Hale, J. </w:t>
      </w:r>
      <w:proofErr w:type="spellStart"/>
      <w:r>
        <w:rPr>
          <w:sz w:val="20"/>
          <w:szCs w:val="20"/>
        </w:rPr>
        <w:t>Fucik</w:t>
      </w:r>
      <w:proofErr w:type="spellEnd"/>
      <w:r>
        <w:rPr>
          <w:sz w:val="20"/>
          <w:szCs w:val="20"/>
        </w:rPr>
        <w:t>, H. Rodriguez, J. Cromer</w:t>
      </w:r>
    </w:p>
    <w:p w:rsidR="0063330F" w:rsidRPr="0063330F" w:rsidRDefault="0063330F" w:rsidP="00EC51A2">
      <w:pPr>
        <w:jc w:val="center"/>
        <w:rPr>
          <w:sz w:val="20"/>
          <w:szCs w:val="20"/>
        </w:rPr>
      </w:pPr>
      <w:r>
        <w:rPr>
          <w:sz w:val="20"/>
          <w:szCs w:val="20"/>
        </w:rPr>
        <w:t>August 15, 2013</w:t>
      </w:r>
    </w:p>
    <w:p w:rsidR="0063330F" w:rsidRPr="0063330F" w:rsidRDefault="0063330F" w:rsidP="00EC51A2">
      <w:pPr>
        <w:jc w:val="center"/>
        <w:rPr>
          <w:b/>
        </w:rPr>
      </w:pPr>
    </w:p>
    <w:p w:rsidR="00EC51A2" w:rsidRDefault="0063330F" w:rsidP="00EC51A2">
      <w:pPr>
        <w:jc w:val="center"/>
      </w:pPr>
      <w:r>
        <w:t>Draft Version 0.2</w:t>
      </w:r>
    </w:p>
    <w:p w:rsidR="00F243A6" w:rsidRDefault="00F243A6" w:rsidP="00EC51A2">
      <w:pPr>
        <w:jc w:val="center"/>
      </w:pPr>
      <w:r>
        <w:rPr>
          <w:noProof/>
        </w:rPr>
        <mc:AlternateContent>
          <mc:Choice Requires="wps">
            <w:drawing>
              <wp:anchor distT="0" distB="0" distL="114300" distR="114300" simplePos="0" relativeHeight="251662336" behindDoc="0" locked="0" layoutInCell="1" allowOverlap="1" wp14:anchorId="1ED13792" wp14:editId="5B4DA5FE">
                <wp:simplePos x="0" y="0"/>
                <wp:positionH relativeFrom="column">
                  <wp:posOffset>-6350</wp:posOffset>
                </wp:positionH>
                <wp:positionV relativeFrom="paragraph">
                  <wp:posOffset>80645</wp:posOffset>
                </wp:positionV>
                <wp:extent cx="5975350" cy="38100"/>
                <wp:effectExtent l="19050" t="19050" r="6350" b="19050"/>
                <wp:wrapNone/>
                <wp:docPr id="5" name="Straight Connector 5"/>
                <wp:cNvGraphicFramePr/>
                <a:graphic xmlns:a="http://schemas.openxmlformats.org/drawingml/2006/main">
                  <a:graphicData uri="http://schemas.microsoft.com/office/word/2010/wordprocessingShape">
                    <wps:wsp>
                      <wps:cNvCnPr/>
                      <wps:spPr>
                        <a:xfrm flipV="1">
                          <a:off x="0" y="0"/>
                          <a:ext cx="5975350" cy="381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5pt,6.35pt" to="470.05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" strokecolor="black [3213]" strokeweight="2.25pt"/>
            </w:pict>
          </mc:Fallback>
        </mc:AlternateContent>
      </w:r>
    </w:p>
    <w:p w:rsidR="00F243A6" w:rsidRDefault="00F243A6" w:rsidP="00EC51A2">
      <w:pPr>
        <w:rPr>
          <w:b/>
          <w:sz w:val="28"/>
          <w:szCs w:val="28"/>
        </w:rPr>
      </w:pPr>
    </w:p>
    <w:p w:rsidR="00EC51A2" w:rsidRPr="00180861" w:rsidRDefault="00EC51A2" w:rsidP="00EC51A2">
      <w:pPr>
        <w:rPr>
          <w:b/>
          <w:sz w:val="28"/>
          <w:szCs w:val="28"/>
        </w:rPr>
      </w:pPr>
      <w:r w:rsidRPr="00180861">
        <w:rPr>
          <w:b/>
          <w:sz w:val="28"/>
          <w:szCs w:val="28"/>
        </w:rPr>
        <w:t>Introduction:</w:t>
      </w:r>
    </w:p>
    <w:p w:rsidR="00B05E75" w:rsidRDefault="00EC51A2" w:rsidP="00861218">
      <w:r>
        <w:tab/>
        <w:t xml:space="preserve">The </w:t>
      </w:r>
      <w:r w:rsidR="00861218">
        <w:t xml:space="preserve">purpose of KAON1003 is to summarize and assess the shipping of the </w:t>
      </w:r>
      <w:r w:rsidR="00361741">
        <w:t>Near-</w:t>
      </w:r>
      <w:r>
        <w:t>Inf</w:t>
      </w:r>
      <w:r w:rsidR="00361741">
        <w:t>rar</w:t>
      </w:r>
      <w:r>
        <w:t>ed Tip/Tilt</w:t>
      </w:r>
      <w:r w:rsidR="00861218">
        <w:t xml:space="preserve"> Sensor (NIRTTS) </w:t>
      </w:r>
      <w:r>
        <w:t>to the observatory completely assembled</w:t>
      </w:r>
      <w:r w:rsidR="00B05E75">
        <w:t xml:space="preserve"> with the </w:t>
      </w:r>
      <w:proofErr w:type="gramStart"/>
      <w:r w:rsidR="00B05E75">
        <w:t>dewar</w:t>
      </w:r>
      <w:proofErr w:type="gramEnd"/>
      <w:r w:rsidR="00B05E75">
        <w:t xml:space="preserve"> backfilled with a partial pressure of dry nitrogen.   </w:t>
      </w:r>
      <w:r w:rsidR="00C16E99">
        <w:t xml:space="preserve">The pedestal and electronics will be </w:t>
      </w:r>
      <w:r w:rsidR="00124B70">
        <w:t xml:space="preserve">freight </w:t>
      </w:r>
      <w:r w:rsidR="00C16E99">
        <w:t>shipped in a different shipping container</w:t>
      </w:r>
      <w:r w:rsidR="00B05E75">
        <w:t>,</w:t>
      </w:r>
      <w:r w:rsidR="00C16E99">
        <w:t xml:space="preserve"> as w</w:t>
      </w:r>
      <w:r w:rsidR="00CA3656">
        <w:t>ell as</w:t>
      </w:r>
      <w:r w:rsidR="00B05E75">
        <w:t>,</w:t>
      </w:r>
      <w:r w:rsidR="00CA3656">
        <w:t xml:space="preserve"> the </w:t>
      </w:r>
      <w:r w:rsidR="00B05E75">
        <w:t xml:space="preserve">ARS Mixed Refrigerant </w:t>
      </w:r>
      <w:proofErr w:type="spellStart"/>
      <w:r w:rsidR="00B05E75">
        <w:t>Cryo</w:t>
      </w:r>
      <w:proofErr w:type="spellEnd"/>
      <w:r w:rsidR="00B05E75">
        <w:t>-Cooling System (compressor and 2 cooling lines)</w:t>
      </w:r>
      <w:r w:rsidR="00C16E99">
        <w:t xml:space="preserve">.  </w:t>
      </w:r>
      <w:r w:rsidR="00B05E75">
        <w:t xml:space="preserve">The detector assembly and cold head will remain in the </w:t>
      </w:r>
      <w:proofErr w:type="gramStart"/>
      <w:r w:rsidR="00B05E75">
        <w:t>dewar</w:t>
      </w:r>
      <w:proofErr w:type="gramEnd"/>
      <w:r w:rsidR="00B05E75">
        <w:t xml:space="preserve"> </w:t>
      </w:r>
      <w:r w:rsidR="00646535">
        <w:t xml:space="preserve">and shipped </w:t>
      </w:r>
      <w:r w:rsidR="00B05E75">
        <w:t>as part of the complete</w:t>
      </w:r>
      <w:r w:rsidR="00861218">
        <w:t xml:space="preserve"> </w:t>
      </w:r>
      <w:proofErr w:type="spellStart"/>
      <w:r w:rsidR="00861218">
        <w:t>dewar</w:t>
      </w:r>
      <w:proofErr w:type="spellEnd"/>
      <w:r w:rsidR="00B05E75">
        <w:t xml:space="preserve"> assembly.</w:t>
      </w:r>
      <w:r w:rsidR="00AF1856">
        <w:t xml:space="preserve">  Because the detector will be shipped inside the dewar, an anti-static foam cutout will be installed on the connector and held in with receptacle protection cap.</w:t>
      </w:r>
      <w:r w:rsidR="00B05E75">
        <w:t xml:space="preserve">  </w:t>
      </w:r>
    </w:p>
    <w:p w:rsidR="009A563E" w:rsidRDefault="00EC51A2" w:rsidP="00B05E75">
      <w:pPr>
        <w:ind w:firstLine="720"/>
      </w:pPr>
      <w:r>
        <w:t>All components have be</w:t>
      </w:r>
      <w:r w:rsidR="008F2DE2">
        <w:t xml:space="preserve">en designed to </w:t>
      </w:r>
      <w:r w:rsidR="00CA3656">
        <w:t>withstand accelerations up to 4</w:t>
      </w:r>
      <w:r w:rsidR="008F2DE2">
        <w:t xml:space="preserve"> g.  The instrument will be transported v</w:t>
      </w:r>
      <w:r w:rsidR="006D5F1E">
        <w:t>ia an “air ride” truck to an airport</w:t>
      </w:r>
      <w:r w:rsidR="008F2DE2">
        <w:t xml:space="preserve"> in the Southern California area, and then boarded onto </w:t>
      </w:r>
      <w:r w:rsidR="006D5F1E">
        <w:t>a cargo plane</w:t>
      </w:r>
      <w:r w:rsidR="00B613DD">
        <w:t xml:space="preserve"> for the trip to Hawaii.  Another “air ride” truck will be used to complete the trip to the observatory on the summit of Mauna Kea.  Past experiences of shipping instruments</w:t>
      </w:r>
      <w:r w:rsidR="006B6036">
        <w:t xml:space="preserve"> (LRIS and </w:t>
      </w:r>
      <w:proofErr w:type="spellStart"/>
      <w:r w:rsidR="006B6036">
        <w:t>Mosfire</w:t>
      </w:r>
      <w:proofErr w:type="spellEnd"/>
      <w:r w:rsidR="006B6036">
        <w:t>)</w:t>
      </w:r>
      <w:r w:rsidR="00B613DD">
        <w:t xml:space="preserve"> have indicated shocks </w:t>
      </w:r>
      <w:r w:rsidR="00DA284E">
        <w:t>of</w:t>
      </w:r>
      <w:r w:rsidR="00B613DD">
        <w:t xml:space="preserve"> up to 22g for short periods (milliseconds) during the transporta</w:t>
      </w:r>
      <w:r w:rsidR="001D5D00">
        <w:t>tion.  The highest shocks can happen during</w:t>
      </w:r>
      <w:r w:rsidR="00B613DD">
        <w:t xml:space="preserve"> </w:t>
      </w:r>
      <w:r w:rsidR="001D5D00">
        <w:t xml:space="preserve">the </w:t>
      </w:r>
      <w:r w:rsidR="00B613DD">
        <w:t>loading and unloadin</w:t>
      </w:r>
      <w:r w:rsidR="00DA284E">
        <w:t>g</w:t>
      </w:r>
      <w:r w:rsidR="001D5D00">
        <w:t xml:space="preserve"> of </w:t>
      </w:r>
      <w:r w:rsidR="00DA284E">
        <w:t>the instrument at the site</w:t>
      </w:r>
      <w:r w:rsidR="00B613DD">
        <w:t xml:space="preserve">.  In order </w:t>
      </w:r>
      <w:r w:rsidR="006B6036">
        <w:t>to dampen the shocks to below 4</w:t>
      </w:r>
      <w:r w:rsidR="004F087B">
        <w:t xml:space="preserve"> g, a shipping crate</w:t>
      </w:r>
      <w:r w:rsidR="00B613DD">
        <w:t xml:space="preserve"> will be designed</w:t>
      </w:r>
      <w:r w:rsidR="00DA284E">
        <w:t xml:space="preserve"> and constructed</w:t>
      </w:r>
      <w:r w:rsidR="00B613DD">
        <w:t xml:space="preserve"> which wil</w:t>
      </w:r>
      <w:r w:rsidR="00DA284E">
        <w:t>l include ester based polyurethane foam</w:t>
      </w:r>
      <w:r w:rsidR="00B613DD">
        <w:t xml:space="preserve"> between the instrument and </w:t>
      </w:r>
      <w:r w:rsidR="009A563E">
        <w:t>the crate, and between the external peripherals and the case</w:t>
      </w:r>
      <w:r w:rsidR="001D5D00">
        <w:t xml:space="preserve">. </w:t>
      </w:r>
      <w:r w:rsidR="004F087B">
        <w:t xml:space="preserve"> A detailed analysis has been created for the required rigidity of foam used </w:t>
      </w:r>
      <w:r w:rsidR="002D68D0">
        <w:t>in the</w:t>
      </w:r>
      <w:r w:rsidR="009A563E">
        <w:t xml:space="preserve"> shipping crate</w:t>
      </w:r>
      <w:r w:rsidR="004F087B">
        <w:t>, and can be found at</w:t>
      </w:r>
      <w:r w:rsidR="006D5F1E">
        <w:t>:</w:t>
      </w:r>
      <w:r w:rsidR="008C0A6E">
        <w:t xml:space="preserve"> </w:t>
      </w:r>
      <w:hyperlink r:id="rId7" w:history="1">
        <w:r w:rsidR="008C0A6E" w:rsidRPr="008C0A6E">
          <w:rPr>
            <w:rStyle w:val="Hyperlink"/>
            <w:sz w:val="20"/>
          </w:rPr>
          <w:t>http://www.oir.caltech.edu/twiki_oir/bin/viewfile/Keck/NGAO/NIRTTSPreShipReportWorkingPage?rev=1;filename=Mathcad_-_Shipping_analysis_for_TRICK.pdf</w:t>
        </w:r>
      </w:hyperlink>
      <w:r w:rsidR="008C0A6E">
        <w:rPr>
          <w:sz w:val="20"/>
        </w:rPr>
        <w:t xml:space="preserve">  </w:t>
      </w:r>
    </w:p>
    <w:p w:rsidR="00EC51A2" w:rsidRDefault="001D5D00" w:rsidP="009A563E">
      <w:r>
        <w:lastRenderedPageBreak/>
        <w:t>Furthermore,</w:t>
      </w:r>
      <w:r w:rsidR="00DA284E">
        <w:t xml:space="preserve"> a</w:t>
      </w:r>
      <w:r w:rsidR="00861218">
        <w:t xml:space="preserve"> thin polyethylene membrane will be installed in the crate to</w:t>
      </w:r>
      <w:r w:rsidR="00DA284E">
        <w:t xml:space="preserve"> </w:t>
      </w:r>
      <w:r w:rsidR="00861218">
        <w:t xml:space="preserve">further </w:t>
      </w:r>
      <w:r w:rsidR="00DA284E">
        <w:t>protect the instrument from the environment</w:t>
      </w:r>
      <w:r>
        <w:t xml:space="preserve"> will be implemented</w:t>
      </w:r>
      <w:r w:rsidR="00B613DD">
        <w:t>.  The design of the shipping crate will successfully and safely tra</w:t>
      </w:r>
      <w:r w:rsidR="00DA284E">
        <w:t xml:space="preserve">nsport </w:t>
      </w:r>
      <w:r w:rsidR="009A563E">
        <w:t xml:space="preserve">the complete assembly of </w:t>
      </w:r>
      <w:r w:rsidR="00DA284E">
        <w:t>NIRTTS to Keck Observatory in Hawaii</w:t>
      </w:r>
      <w:r w:rsidR="00B613DD">
        <w:t>.</w:t>
      </w:r>
    </w:p>
    <w:p w:rsidR="00B613DD" w:rsidRDefault="00B613DD" w:rsidP="00EC51A2"/>
    <w:p w:rsidR="00B613DD" w:rsidRPr="00180861" w:rsidRDefault="00180861" w:rsidP="00EC51A2">
      <w:pPr>
        <w:rPr>
          <w:b/>
          <w:sz w:val="28"/>
          <w:szCs w:val="28"/>
        </w:rPr>
      </w:pPr>
      <w:r w:rsidRPr="00180861">
        <w:rPr>
          <w:b/>
          <w:sz w:val="28"/>
          <w:szCs w:val="28"/>
        </w:rPr>
        <w:t xml:space="preserve">Shipping </w:t>
      </w:r>
      <w:r w:rsidR="00B613DD" w:rsidRPr="00180861">
        <w:rPr>
          <w:b/>
          <w:sz w:val="28"/>
          <w:szCs w:val="28"/>
        </w:rPr>
        <w:t>Specifications:</w:t>
      </w:r>
    </w:p>
    <w:p w:rsidR="00D71639" w:rsidRDefault="00E0356F" w:rsidP="00EC51A2">
      <w:r>
        <w:tab/>
        <w:t>The purpos</w:t>
      </w:r>
      <w:r w:rsidR="00180861">
        <w:t>e of the shipping specifications</w:t>
      </w:r>
      <w:r>
        <w:t xml:space="preserve"> is to provide sufficient protection and safety </w:t>
      </w:r>
      <w:r w:rsidR="00587207">
        <w:t>to</w:t>
      </w:r>
      <w:r>
        <w:t xml:space="preserve"> NIRTTS during transportation. </w:t>
      </w:r>
      <w:r w:rsidR="00D71639">
        <w:t xml:space="preserve">  The specifications will cover shock and vibration isolation</w:t>
      </w:r>
      <w:r w:rsidR="006D5F1E">
        <w:t xml:space="preserve"> plus cost analysis of the shipping material</w:t>
      </w:r>
      <w:r w:rsidR="00D71639">
        <w:t>, weather resistance</w:t>
      </w:r>
      <w:r w:rsidR="006D5F1E">
        <w:t>,</w:t>
      </w:r>
      <w:r w:rsidR="001D5D00">
        <w:t xml:space="preserve"> temperature sensing</w:t>
      </w:r>
      <w:r w:rsidR="006D5F1E">
        <w:t>, and a packing list</w:t>
      </w:r>
      <w:r w:rsidR="007C55C5">
        <w:t>.</w:t>
      </w:r>
      <w:r>
        <w:t xml:space="preserve"> </w:t>
      </w:r>
    </w:p>
    <w:p w:rsidR="00E0356F" w:rsidRDefault="00E0356F" w:rsidP="00C20B32">
      <w:pPr>
        <w:ind w:firstLine="720"/>
      </w:pPr>
      <w:r>
        <w:t xml:space="preserve">The shock isolation will reduce the shocks encountered during ground and/or air transportation to levels that will not damage the optics on the pedestal or the optics in the dewar, </w:t>
      </w:r>
      <w:r w:rsidR="00587207">
        <w:t xml:space="preserve">the H2RG detector, </w:t>
      </w:r>
      <w:r>
        <w:t xml:space="preserve">and any of the peripheral external equipment.  The </w:t>
      </w:r>
      <w:r w:rsidR="00587207">
        <w:t>crate will dampen any vibrations caused by the transportation of the instrument by ground and/or air.</w:t>
      </w:r>
      <w:r>
        <w:t xml:space="preserve">   </w:t>
      </w:r>
    </w:p>
    <w:p w:rsidR="007C55C5" w:rsidRDefault="00D71639" w:rsidP="00EC51A2">
      <w:r>
        <w:tab/>
        <w:t>The crate will also be supplied with a method</w:t>
      </w:r>
      <w:r w:rsidR="007C55C5">
        <w:t xml:space="preserve"> of</w:t>
      </w:r>
      <w:r>
        <w:t xml:space="preserve"> </w:t>
      </w:r>
      <w:r w:rsidR="007C55C5">
        <w:t>protecting NIRTTS from the environment during the transportation by ground and/or air.  The instrument and the external peripheral components</w:t>
      </w:r>
      <w:r w:rsidR="005F32FA">
        <w:t xml:space="preserve"> will be vacuum sealed and bags of desiccant will be placed</w:t>
      </w:r>
      <w:r w:rsidR="007C55C5">
        <w:t xml:space="preserve"> inside the </w:t>
      </w:r>
      <w:r w:rsidR="005F32FA">
        <w:t xml:space="preserve">vacuum sealed </w:t>
      </w:r>
      <w:r w:rsidR="007C55C5">
        <w:t>bags.  In addition,</w:t>
      </w:r>
      <w:r w:rsidR="005F32FA">
        <w:t xml:space="preserve"> the inside of the external crate</w:t>
      </w:r>
      <w:r w:rsidR="007C55C5">
        <w:t xml:space="preserve"> will be sealed with a plastic membrane</w:t>
      </w:r>
      <w:r w:rsidR="005F32FA">
        <w:t xml:space="preserve"> to further protect the internal crate</w:t>
      </w:r>
      <w:r w:rsidR="007C55C5">
        <w:t xml:space="preserve">.  </w:t>
      </w:r>
    </w:p>
    <w:p w:rsidR="005A7500" w:rsidRDefault="007C55C5" w:rsidP="00EC51A2">
      <w:r>
        <w:tab/>
        <w:t>A thermal coupl</w:t>
      </w:r>
      <w:r w:rsidR="00A62A25">
        <w:t>e</w:t>
      </w:r>
      <w:r w:rsidR="00DA284E">
        <w:t xml:space="preserve"> will be used as a</w:t>
      </w:r>
      <w:r>
        <w:t xml:space="preserve"> sensor inside the </w:t>
      </w:r>
      <w:r w:rsidR="005F32FA">
        <w:t>crate and attached to the dewar and</w:t>
      </w:r>
      <w:r>
        <w:t xml:space="preserve"> monitor the </w:t>
      </w:r>
      <w:r w:rsidR="00DA284E">
        <w:t>temperature in the vicinity</w:t>
      </w:r>
      <w:r w:rsidR="001D5D00">
        <w:t xml:space="preserve"> of the optics</w:t>
      </w:r>
      <w:r w:rsidR="006B6036">
        <w:t xml:space="preserve"> on the pedestal.  This is to ensure that the temperature inside the crate has equilibrated to the dome temperature before exposing the optics to the colder temperatures of the dome.  </w:t>
      </w:r>
    </w:p>
    <w:p w:rsidR="00E578C7" w:rsidRDefault="00E578C7" w:rsidP="00EC51A2"/>
    <w:p w:rsidR="00E578C7" w:rsidRDefault="00E578C7" w:rsidP="00EC51A2"/>
    <w:p w:rsidR="00E578C7" w:rsidRDefault="00E578C7" w:rsidP="00EC51A2"/>
    <w:p w:rsidR="005F5E39" w:rsidRDefault="005F5E39" w:rsidP="00EC51A2"/>
    <w:p w:rsidR="005F5E39" w:rsidRDefault="005F5E39" w:rsidP="00EC51A2"/>
    <w:p w:rsidR="005F5E39" w:rsidRDefault="005F5E39" w:rsidP="00EC51A2"/>
    <w:p w:rsidR="005F5E39" w:rsidRDefault="005F5E39" w:rsidP="00EC51A2"/>
    <w:p w:rsidR="00752FF2" w:rsidRDefault="00752FF2" w:rsidP="00EC51A2"/>
    <w:p w:rsidR="00752FF2" w:rsidRDefault="00752FF2" w:rsidP="00EC51A2"/>
    <w:p w:rsidR="00752FF2" w:rsidRDefault="00752FF2" w:rsidP="00EC51A2">
      <w:r w:rsidRPr="00752FF2">
        <w:drawing>
          <wp:anchor distT="0" distB="0" distL="114300" distR="114300" simplePos="0" relativeHeight="251664384" behindDoc="0" locked="0" layoutInCell="1" allowOverlap="1" wp14:anchorId="1FC2F3A0" wp14:editId="1508FDF8">
            <wp:simplePos x="0" y="0"/>
            <wp:positionH relativeFrom="column">
              <wp:posOffset>-72390</wp:posOffset>
            </wp:positionH>
            <wp:positionV relativeFrom="paragraph">
              <wp:posOffset>88265</wp:posOffset>
            </wp:positionV>
            <wp:extent cx="3684905" cy="4525645"/>
            <wp:effectExtent l="0" t="0" r="0" b="8255"/>
            <wp:wrapNone/>
            <wp:docPr id="6" name="Content Placeholder 5" descr="Screen Clippi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Screen Clipping"/>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684905" cy="4525645"/>
                    </a:xfrm>
                    <a:prstGeom prst="rect">
                      <a:avLst/>
                    </a:prstGeom>
                  </pic:spPr>
                </pic:pic>
              </a:graphicData>
            </a:graphic>
          </wp:anchor>
        </w:drawing>
      </w:r>
    </w:p>
    <w:p w:rsidR="00752FF2" w:rsidRDefault="00752FF2" w:rsidP="00EC51A2">
      <w:r w:rsidRPr="00752FF2">
        <mc:AlternateContent>
          <mc:Choice Requires="wpg">
            <w:drawing>
              <wp:anchor distT="0" distB="0" distL="114300" distR="114300" simplePos="0" relativeHeight="251665408" behindDoc="0" locked="0" layoutInCell="1" allowOverlap="1" wp14:anchorId="2D785EAB" wp14:editId="7DD490E5">
                <wp:simplePos x="0" y="0"/>
                <wp:positionH relativeFrom="column">
                  <wp:posOffset>2381250</wp:posOffset>
                </wp:positionH>
                <wp:positionV relativeFrom="paragraph">
                  <wp:posOffset>90170</wp:posOffset>
                </wp:positionV>
                <wp:extent cx="2372622" cy="3553738"/>
                <wp:effectExtent l="0" t="0" r="0" b="0"/>
                <wp:wrapNone/>
                <wp:docPr id="10" name="Group 9"/>
                <wp:cNvGraphicFramePr/>
                <a:graphic xmlns:a="http://schemas.openxmlformats.org/drawingml/2006/main">
                  <a:graphicData uri="http://schemas.microsoft.com/office/word/2010/wordprocessingGroup">
                    <wpg:wgp>
                      <wpg:cNvGrpSpPr/>
                      <wpg:grpSpPr>
                        <a:xfrm>
                          <a:off x="0" y="0"/>
                          <a:ext cx="2372622" cy="3553738"/>
                          <a:chOff x="2514600" y="342900"/>
                          <a:chExt cx="2372962" cy="3554125"/>
                        </a:xfrm>
                      </wpg:grpSpPr>
                      <wps:wsp>
                        <wps:cNvPr id="11" name="TextBox 6"/>
                        <wps:cNvSpPr txBox="1"/>
                        <wps:spPr>
                          <a:xfrm>
                            <a:off x="3058500" y="342900"/>
                            <a:ext cx="1829062" cy="277525"/>
                          </a:xfrm>
                          <a:prstGeom prst="rect">
                            <a:avLst/>
                          </a:prstGeom>
                          <a:noFill/>
                        </wps:spPr>
                        <wps:txbx>
                          <w:txbxContent>
                            <w:p w:rsidR="00752FF2" w:rsidRPr="007871CA" w:rsidRDefault="00752FF2" w:rsidP="00752FF2">
                              <w:pPr>
                                <w:pStyle w:val="NormalWeb"/>
                                <w:spacing w:before="0" w:beforeAutospacing="0" w:after="0" w:afterAutospacing="0"/>
                              </w:pPr>
                              <w:r w:rsidRPr="007871CA">
                                <w:rPr>
                                  <w:rFonts w:asciiTheme="minorHAnsi" w:hAnsi="Calibri" w:cstheme="minorBidi"/>
                                  <w:color w:val="000000" w:themeColor="text1"/>
                                  <w:kern w:val="24"/>
                                </w:rPr>
                                <w:t>Electronics</w:t>
                              </w:r>
                            </w:p>
                          </w:txbxContent>
                        </wps:txbx>
                        <wps:bodyPr wrap="square" rtlCol="0">
                          <a:spAutoFit/>
                        </wps:bodyPr>
                      </wps:wsp>
                      <wps:wsp>
                        <wps:cNvPr id="12" name="TextBox 7"/>
                        <wps:cNvSpPr txBox="1"/>
                        <wps:spPr>
                          <a:xfrm>
                            <a:off x="2525099" y="2095500"/>
                            <a:ext cx="2057060" cy="277525"/>
                          </a:xfrm>
                          <a:prstGeom prst="rect">
                            <a:avLst/>
                          </a:prstGeom>
                          <a:noFill/>
                        </wps:spPr>
                        <wps:txbx>
                          <w:txbxContent>
                            <w:p w:rsidR="00752FF2" w:rsidRPr="007871CA" w:rsidRDefault="00752FF2" w:rsidP="00752FF2">
                              <w:pPr>
                                <w:pStyle w:val="NormalWeb"/>
                                <w:spacing w:before="0" w:beforeAutospacing="0" w:after="0" w:afterAutospacing="0"/>
                              </w:pPr>
                              <w:r w:rsidRPr="007871CA">
                                <w:rPr>
                                  <w:rFonts w:asciiTheme="minorHAnsi" w:hAnsi="Calibri" w:cstheme="minorBidi"/>
                                  <w:color w:val="000000" w:themeColor="text1"/>
                                  <w:kern w:val="24"/>
                                </w:rPr>
                                <w:t>Dewar Assembly</w:t>
                              </w:r>
                            </w:p>
                          </w:txbxContent>
                        </wps:txbx>
                        <wps:bodyPr wrap="square" rtlCol="0">
                          <a:spAutoFit/>
                        </wps:bodyPr>
                      </wps:wsp>
                      <wps:wsp>
                        <wps:cNvPr id="13" name="TextBox 8"/>
                        <wps:cNvSpPr txBox="1"/>
                        <wps:spPr>
                          <a:xfrm>
                            <a:off x="2514600" y="3619500"/>
                            <a:ext cx="2209482" cy="277525"/>
                          </a:xfrm>
                          <a:prstGeom prst="rect">
                            <a:avLst/>
                          </a:prstGeom>
                          <a:noFill/>
                        </wps:spPr>
                        <wps:txbx>
                          <w:txbxContent>
                            <w:p w:rsidR="00752FF2" w:rsidRPr="007871CA" w:rsidRDefault="00752FF2" w:rsidP="00752FF2">
                              <w:pPr>
                                <w:pStyle w:val="NormalWeb"/>
                                <w:spacing w:before="0" w:beforeAutospacing="0" w:after="0" w:afterAutospacing="0"/>
                              </w:pPr>
                              <w:r w:rsidRPr="007871CA">
                                <w:rPr>
                                  <w:rFonts w:asciiTheme="minorHAnsi" w:hAnsi="Calibri" w:cstheme="minorBidi"/>
                                  <w:color w:val="000000" w:themeColor="text1"/>
                                  <w:kern w:val="24"/>
                                </w:rPr>
                                <w:t>Focus Stage Assembly</w:t>
                              </w:r>
                            </w:p>
                          </w:txbxContent>
                        </wps:txbx>
                        <wps:bodyPr wrap="square" rtlCol="0">
                          <a:spAutoFit/>
                        </wps:bodyPr>
                      </wps:wsp>
                    </wpg:wgp>
                  </a:graphicData>
                </a:graphic>
              </wp:anchor>
            </w:drawing>
          </mc:Choice>
          <mc:Fallback>
            <w:pict>
              <v:group id="Group 9" o:spid="_x0000_s1026" style="position:absolute;margin-left:187.5pt;margin-top:7.1pt;width:186.8pt;height:279.8pt;z-index:251665408" coordorigin="25146,3429" coordsize="23729,35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">
                <v:shapetype id="_x0000_t202" coordsize="21600,21600" o:spt="202" path="m,l,21600r21600,l21600,xe">
                  <v:stroke joinstyle="miter"/>
                  <v:path gradientshapeok="t" o:connecttype="rect"/>
                </v:shapetype>
                <v:shape id="TextBox 6" o:spid="_x0000_s1027" type="#_x0000_t202" style="position:absolute;left:30585;top:3429;width:1829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752FF2" w:rsidRPr="007871CA" w:rsidRDefault="00752FF2" w:rsidP="00752FF2">
                        <w:pPr>
                          <w:pStyle w:val="NormalWeb"/>
                          <w:spacing w:before="0" w:beforeAutospacing="0" w:after="0" w:afterAutospacing="0"/>
                        </w:pPr>
                        <w:r w:rsidRPr="007871CA">
                          <w:rPr>
                            <w:rFonts w:asciiTheme="minorHAnsi" w:hAnsi="Calibri" w:cstheme="minorBidi"/>
                            <w:color w:val="000000" w:themeColor="text1"/>
                            <w:kern w:val="24"/>
                          </w:rPr>
                          <w:t>Electronics</w:t>
                        </w:r>
                      </w:p>
                    </w:txbxContent>
                  </v:textbox>
                </v:shape>
                <v:shape id="TextBox 7" o:spid="_x0000_s1028" type="#_x0000_t202" style="position:absolute;left:25250;top:20955;width:20571;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752FF2" w:rsidRPr="007871CA" w:rsidRDefault="00752FF2" w:rsidP="00752FF2">
                        <w:pPr>
                          <w:pStyle w:val="NormalWeb"/>
                          <w:spacing w:before="0" w:beforeAutospacing="0" w:after="0" w:afterAutospacing="0"/>
                        </w:pPr>
                        <w:r w:rsidRPr="007871CA">
                          <w:rPr>
                            <w:rFonts w:asciiTheme="minorHAnsi" w:hAnsi="Calibri" w:cstheme="minorBidi"/>
                            <w:color w:val="000000" w:themeColor="text1"/>
                            <w:kern w:val="24"/>
                          </w:rPr>
                          <w:t>Dewar Assembly</w:t>
                        </w:r>
                      </w:p>
                    </w:txbxContent>
                  </v:textbox>
                </v:shape>
                <v:shape id="TextBox 8" o:spid="_x0000_s1029" type="#_x0000_t202" style="position:absolute;left:25146;top:36195;width:2209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752FF2" w:rsidRPr="007871CA" w:rsidRDefault="00752FF2" w:rsidP="00752FF2">
                        <w:pPr>
                          <w:pStyle w:val="NormalWeb"/>
                          <w:spacing w:before="0" w:beforeAutospacing="0" w:after="0" w:afterAutospacing="0"/>
                        </w:pPr>
                        <w:r w:rsidRPr="007871CA">
                          <w:rPr>
                            <w:rFonts w:asciiTheme="minorHAnsi" w:hAnsi="Calibri" w:cstheme="minorBidi"/>
                            <w:color w:val="000000" w:themeColor="text1"/>
                            <w:kern w:val="24"/>
                          </w:rPr>
                          <w:t>Focus Stage Assembly</w:t>
                        </w:r>
                      </w:p>
                    </w:txbxContent>
                  </v:textbox>
                </v:shape>
              </v:group>
            </w:pict>
          </mc:Fallback>
        </mc:AlternateContent>
      </w:r>
    </w:p>
    <w:p w:rsidR="00752FF2" w:rsidRDefault="00752FF2" w:rsidP="00EC51A2"/>
    <w:p w:rsidR="00752FF2" w:rsidRDefault="00752FF2" w:rsidP="00EC51A2"/>
    <w:p w:rsidR="00752FF2" w:rsidRDefault="00752FF2" w:rsidP="00EC51A2"/>
    <w:p w:rsidR="00752FF2" w:rsidRDefault="00752FF2" w:rsidP="00EC51A2"/>
    <w:p w:rsidR="00752FF2" w:rsidRDefault="00752FF2" w:rsidP="00EC51A2"/>
    <w:p w:rsidR="00752FF2" w:rsidRDefault="00752FF2" w:rsidP="00EC51A2"/>
    <w:p w:rsidR="00752FF2" w:rsidRDefault="00752FF2" w:rsidP="00EC51A2"/>
    <w:p w:rsidR="00752FF2" w:rsidRDefault="00752FF2" w:rsidP="00EC51A2"/>
    <w:p w:rsidR="00752FF2" w:rsidRDefault="00752FF2" w:rsidP="00EC51A2"/>
    <w:p w:rsidR="00752FF2" w:rsidRDefault="00752FF2" w:rsidP="00EC51A2"/>
    <w:p w:rsidR="00752FF2" w:rsidRDefault="00752FF2" w:rsidP="00EC51A2"/>
    <w:p w:rsidR="00752FF2" w:rsidRDefault="00752FF2" w:rsidP="00EC51A2"/>
    <w:p w:rsidR="007871CA" w:rsidRDefault="00752FF2" w:rsidP="00752FF2">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w:t>
      </w:r>
      <w:r w:rsidR="007871CA">
        <w:t>Components that are being shipped to Keck Observatory</w:t>
      </w:r>
      <w:r>
        <w:t>.</w:t>
      </w:r>
      <w:r w:rsidR="007871CA">
        <w:t xml:space="preserve"> </w:t>
      </w:r>
    </w:p>
    <w:p w:rsidR="002D68D0" w:rsidRDefault="00752FF2" w:rsidP="00752FF2">
      <w:pPr>
        <w:pStyle w:val="Caption"/>
      </w:pPr>
      <w:r>
        <w:t xml:space="preserve"> </w:t>
      </w:r>
      <w:r w:rsidR="007871CA">
        <w:t xml:space="preserve"> </w:t>
      </w:r>
      <w:r>
        <w:t xml:space="preserve"> </w:t>
      </w:r>
    </w:p>
    <w:p w:rsidR="005A7500" w:rsidRDefault="005F32FA" w:rsidP="005F32FA">
      <w:pPr>
        <w:pStyle w:val="Caption"/>
      </w:pPr>
      <w:r>
        <w:t xml:space="preserve">Table </w:t>
      </w:r>
      <w:r w:rsidR="00BF47F2">
        <w:fldChar w:fldCharType="begin"/>
      </w:r>
      <w:r w:rsidR="00BF47F2">
        <w:instrText xml:space="preserve"> SEQ Table \* ARABIC </w:instrText>
      </w:r>
      <w:r w:rsidR="00BF47F2">
        <w:fldChar w:fldCharType="separate"/>
      </w:r>
      <w:r w:rsidR="00134F8A">
        <w:rPr>
          <w:noProof/>
        </w:rPr>
        <w:t>1</w:t>
      </w:r>
      <w:r w:rsidR="00BF47F2">
        <w:rPr>
          <w:noProof/>
        </w:rPr>
        <w:fldChar w:fldCharType="end"/>
      </w:r>
      <w:r>
        <w:t>: Transport</w:t>
      </w:r>
      <w:r w:rsidR="00F243A6">
        <w:t>ation and Shipping</w:t>
      </w:r>
      <w:r>
        <w:t xml:space="preserve"> Conditions</w:t>
      </w:r>
    </w:p>
    <w:tbl>
      <w:tblPr>
        <w:tblStyle w:val="TableGrid"/>
        <w:tblW w:w="0" w:type="auto"/>
        <w:tblLayout w:type="fixed"/>
        <w:tblLook w:val="04A0" w:firstRow="1" w:lastRow="0" w:firstColumn="1" w:lastColumn="0" w:noHBand="0" w:noVBand="1"/>
      </w:tblPr>
      <w:tblGrid>
        <w:gridCol w:w="2538"/>
        <w:gridCol w:w="1350"/>
        <w:gridCol w:w="3528"/>
      </w:tblGrid>
      <w:tr w:rsidR="00CB3568" w:rsidTr="00CB3568">
        <w:tc>
          <w:tcPr>
            <w:tcW w:w="2538" w:type="dxa"/>
          </w:tcPr>
          <w:p w:rsidR="00CB3568" w:rsidRDefault="00CB3568" w:rsidP="00EC51A2">
            <w:r>
              <w:t>Parameter</w:t>
            </w:r>
          </w:p>
        </w:tc>
        <w:tc>
          <w:tcPr>
            <w:tcW w:w="1350" w:type="dxa"/>
          </w:tcPr>
          <w:p w:rsidR="00CB3568" w:rsidRDefault="00CB3568" w:rsidP="00EC51A2">
            <w:r>
              <w:t>Max.</w:t>
            </w:r>
            <w:r w:rsidR="002D68D0">
              <w:t xml:space="preserve"> g L</w:t>
            </w:r>
            <w:r>
              <w:t>evel</w:t>
            </w:r>
          </w:p>
        </w:tc>
        <w:tc>
          <w:tcPr>
            <w:tcW w:w="3528" w:type="dxa"/>
          </w:tcPr>
          <w:p w:rsidR="00CB3568" w:rsidRDefault="00641691" w:rsidP="00EC51A2">
            <w:r>
              <w:t>Comments</w:t>
            </w:r>
          </w:p>
        </w:tc>
      </w:tr>
      <w:tr w:rsidR="00CB3568" w:rsidTr="00CB3568">
        <w:tc>
          <w:tcPr>
            <w:tcW w:w="2538" w:type="dxa"/>
          </w:tcPr>
          <w:p w:rsidR="00CB3568" w:rsidRDefault="00CB3568" w:rsidP="00EC51A2">
            <w:r>
              <w:t>Shock</w:t>
            </w:r>
          </w:p>
        </w:tc>
        <w:tc>
          <w:tcPr>
            <w:tcW w:w="1350" w:type="dxa"/>
          </w:tcPr>
          <w:p w:rsidR="00CB3568" w:rsidRDefault="00CB3568" w:rsidP="002B4382">
            <w:pPr>
              <w:jc w:val="center"/>
            </w:pPr>
            <w:r>
              <w:t>15</w:t>
            </w:r>
          </w:p>
        </w:tc>
        <w:tc>
          <w:tcPr>
            <w:tcW w:w="3528" w:type="dxa"/>
          </w:tcPr>
          <w:p w:rsidR="00CB3568" w:rsidRDefault="00CB3568" w:rsidP="00EC51A2">
            <w:r>
              <w:t>0.015 second half-sine, all axes</w:t>
            </w:r>
          </w:p>
        </w:tc>
      </w:tr>
      <w:tr w:rsidR="00CB3568" w:rsidTr="00CB3568">
        <w:tc>
          <w:tcPr>
            <w:tcW w:w="2538" w:type="dxa"/>
          </w:tcPr>
          <w:p w:rsidR="00CB3568" w:rsidRDefault="00CB3568" w:rsidP="00CB3568">
            <w:r>
              <w:t>Acceleration due to transport</w:t>
            </w:r>
          </w:p>
        </w:tc>
        <w:tc>
          <w:tcPr>
            <w:tcW w:w="1350" w:type="dxa"/>
            <w:vAlign w:val="center"/>
          </w:tcPr>
          <w:p w:rsidR="00CB3568" w:rsidRDefault="00CB3568" w:rsidP="00CB3568">
            <w:pPr>
              <w:jc w:val="center"/>
            </w:pPr>
            <w:r>
              <w:t>4</w:t>
            </w:r>
          </w:p>
        </w:tc>
        <w:tc>
          <w:tcPr>
            <w:tcW w:w="3528" w:type="dxa"/>
            <w:vAlign w:val="center"/>
          </w:tcPr>
          <w:p w:rsidR="00CB3568" w:rsidRDefault="00CB3568" w:rsidP="00CB3568">
            <w:r>
              <w:t>All axes.</w:t>
            </w:r>
          </w:p>
        </w:tc>
      </w:tr>
      <w:tr w:rsidR="00CB3568" w:rsidTr="00CB3568">
        <w:tc>
          <w:tcPr>
            <w:tcW w:w="2538" w:type="dxa"/>
          </w:tcPr>
          <w:p w:rsidR="00CB3568" w:rsidRDefault="00CB3568" w:rsidP="00CB3568">
            <w:r>
              <w:t>Acceleration due to seismic activity</w:t>
            </w:r>
          </w:p>
        </w:tc>
        <w:tc>
          <w:tcPr>
            <w:tcW w:w="1350" w:type="dxa"/>
            <w:vAlign w:val="center"/>
          </w:tcPr>
          <w:p w:rsidR="00CB3568" w:rsidRDefault="00CB3568" w:rsidP="00CB3568">
            <w:pPr>
              <w:jc w:val="center"/>
            </w:pPr>
            <w:r>
              <w:t>2</w:t>
            </w:r>
          </w:p>
        </w:tc>
        <w:tc>
          <w:tcPr>
            <w:tcW w:w="3528" w:type="dxa"/>
          </w:tcPr>
          <w:p w:rsidR="00CB3568" w:rsidRDefault="00CB3568" w:rsidP="00EC51A2"/>
        </w:tc>
      </w:tr>
    </w:tbl>
    <w:p w:rsidR="005F32FA" w:rsidRDefault="005F32FA" w:rsidP="00EC51A2"/>
    <w:p w:rsidR="002D68D0" w:rsidRDefault="002D68D0" w:rsidP="00EC51A2"/>
    <w:p w:rsidR="00B613DD" w:rsidRDefault="00180861" w:rsidP="00EC51A2">
      <w:pPr>
        <w:rPr>
          <w:b/>
          <w:sz w:val="28"/>
          <w:szCs w:val="28"/>
        </w:rPr>
      </w:pPr>
      <w:r w:rsidRPr="00180861">
        <w:rPr>
          <w:b/>
          <w:sz w:val="28"/>
          <w:szCs w:val="28"/>
        </w:rPr>
        <w:lastRenderedPageBreak/>
        <w:t xml:space="preserve">Shock and Vibration Isolation </w:t>
      </w:r>
      <w:r w:rsidR="006832C3" w:rsidRPr="00180861">
        <w:rPr>
          <w:b/>
          <w:sz w:val="28"/>
          <w:szCs w:val="28"/>
        </w:rPr>
        <w:t>Specifications:</w:t>
      </w:r>
    </w:p>
    <w:p w:rsidR="00180861" w:rsidRPr="00180861" w:rsidRDefault="00180861" w:rsidP="00EC51A2">
      <w:r>
        <w:rPr>
          <w:b/>
        </w:rPr>
        <w:t>Foam Specifications:</w:t>
      </w:r>
    </w:p>
    <w:p w:rsidR="00641691" w:rsidRDefault="00950A22" w:rsidP="00EC51A2">
      <w:pPr>
        <w:rPr>
          <w:color w:val="000000"/>
          <w:shd w:val="clear" w:color="auto" w:fill="FFFFFF"/>
        </w:rPr>
      </w:pPr>
      <w:r>
        <w:rPr>
          <w:b/>
        </w:rPr>
        <w:t>Anti-</w:t>
      </w:r>
      <w:r w:rsidR="006832C3" w:rsidRPr="006832C3">
        <w:rPr>
          <w:b/>
        </w:rPr>
        <w:t>Static Open Cell Foam</w:t>
      </w:r>
      <w:r w:rsidR="006832C3">
        <w:t xml:space="preserve"> – </w:t>
      </w:r>
      <w:r w:rsidR="00180861">
        <w:rPr>
          <w:color w:val="000000"/>
          <w:shd w:val="clear" w:color="auto" w:fill="FFFFFF"/>
        </w:rPr>
        <w:t xml:space="preserve">Anti-Static foam is </w:t>
      </w:r>
      <w:r w:rsidR="006832C3" w:rsidRPr="006832C3">
        <w:rPr>
          <w:color w:val="000000"/>
          <w:shd w:val="clear" w:color="auto" w:fill="FFFFFF"/>
        </w:rPr>
        <w:t>good-quality foam with a medium feel. Its unique properties allow the foam to slowly dissipate electro-static charges.</w:t>
      </w:r>
    </w:p>
    <w:p w:rsidR="006832C3" w:rsidRDefault="00641691" w:rsidP="00641691">
      <w:pPr>
        <w:pStyle w:val="Caption"/>
      </w:pPr>
      <w:r>
        <w:t xml:space="preserve">Table </w:t>
      </w:r>
      <w:r w:rsidR="00BF47F2">
        <w:fldChar w:fldCharType="begin"/>
      </w:r>
      <w:r w:rsidR="00BF47F2">
        <w:instrText xml:space="preserve"> SEQ Table \* ARABIC </w:instrText>
      </w:r>
      <w:r w:rsidR="00BF47F2">
        <w:fldChar w:fldCharType="separate"/>
      </w:r>
      <w:r w:rsidR="00134F8A">
        <w:rPr>
          <w:noProof/>
        </w:rPr>
        <w:t>2</w:t>
      </w:r>
      <w:r w:rsidR="00BF47F2">
        <w:rPr>
          <w:noProof/>
        </w:rPr>
        <w:fldChar w:fldCharType="end"/>
      </w:r>
      <w:r>
        <w:t xml:space="preserve"> Technical</w:t>
      </w:r>
      <w:r w:rsidR="00F243A6">
        <w:t xml:space="preserve"> Anti-</w:t>
      </w:r>
      <w:r>
        <w:t>Static Foam Information</w:t>
      </w:r>
      <w:r w:rsidR="006832C3" w:rsidRPr="006832C3">
        <w:rPr>
          <w:color w:val="000000"/>
          <w:shd w:val="clear" w:color="auto" w:fill="FFFFFF"/>
        </w:rPr>
        <w:t xml:space="preserve"> </w:t>
      </w:r>
    </w:p>
    <w:tbl>
      <w:tblPr>
        <w:tblStyle w:val="TableGrid"/>
        <w:tblW w:w="0" w:type="auto"/>
        <w:tblLook w:val="04A0" w:firstRow="1" w:lastRow="0" w:firstColumn="1" w:lastColumn="0" w:noHBand="0" w:noVBand="1"/>
      </w:tblPr>
      <w:tblGrid>
        <w:gridCol w:w="3348"/>
        <w:gridCol w:w="2160"/>
        <w:gridCol w:w="900"/>
      </w:tblGrid>
      <w:tr w:rsidR="006832C3" w:rsidTr="006832C3">
        <w:tc>
          <w:tcPr>
            <w:tcW w:w="3348" w:type="dxa"/>
          </w:tcPr>
          <w:p w:rsidR="006832C3" w:rsidRDefault="006832C3" w:rsidP="00EC51A2">
            <w:r>
              <w:t>Property</w:t>
            </w:r>
          </w:p>
        </w:tc>
        <w:tc>
          <w:tcPr>
            <w:tcW w:w="2160" w:type="dxa"/>
          </w:tcPr>
          <w:p w:rsidR="006832C3" w:rsidRDefault="006832C3" w:rsidP="006832C3">
            <w:pPr>
              <w:jc w:val="center"/>
            </w:pPr>
            <w:r>
              <w:t>Test Method</w:t>
            </w:r>
          </w:p>
        </w:tc>
        <w:tc>
          <w:tcPr>
            <w:tcW w:w="900" w:type="dxa"/>
          </w:tcPr>
          <w:p w:rsidR="006832C3" w:rsidRDefault="006832C3" w:rsidP="00EC51A2">
            <w:r>
              <w:t>Values</w:t>
            </w:r>
          </w:p>
        </w:tc>
      </w:tr>
      <w:tr w:rsidR="006832C3" w:rsidTr="006832C3">
        <w:tc>
          <w:tcPr>
            <w:tcW w:w="3348" w:type="dxa"/>
          </w:tcPr>
          <w:p w:rsidR="006832C3" w:rsidRDefault="006832C3" w:rsidP="00EC51A2">
            <w:r>
              <w:t>Density (</w:t>
            </w:r>
            <w:proofErr w:type="spellStart"/>
            <w:r>
              <w:t>lb</w:t>
            </w:r>
            <w:proofErr w:type="spellEnd"/>
            <w:r>
              <w:t>/</w:t>
            </w:r>
            <w:proofErr w:type="spellStart"/>
            <w:r>
              <w:t>cu.ft</w:t>
            </w:r>
            <w:proofErr w:type="spellEnd"/>
            <w:r>
              <w:t>.)</w:t>
            </w:r>
          </w:p>
        </w:tc>
        <w:tc>
          <w:tcPr>
            <w:tcW w:w="2160" w:type="dxa"/>
            <w:vMerge w:val="restart"/>
            <w:vAlign w:val="center"/>
          </w:tcPr>
          <w:p w:rsidR="006832C3" w:rsidRDefault="006832C3" w:rsidP="006832C3">
            <w:pPr>
              <w:jc w:val="center"/>
            </w:pPr>
            <w:r>
              <w:t>ASTM D 3574 (all)</w:t>
            </w:r>
          </w:p>
        </w:tc>
        <w:tc>
          <w:tcPr>
            <w:tcW w:w="900" w:type="dxa"/>
          </w:tcPr>
          <w:p w:rsidR="006832C3" w:rsidRDefault="006832C3" w:rsidP="00EC51A2">
            <w:r>
              <w:t>1.4</w:t>
            </w:r>
          </w:p>
        </w:tc>
      </w:tr>
      <w:tr w:rsidR="006832C3" w:rsidTr="006832C3">
        <w:tc>
          <w:tcPr>
            <w:tcW w:w="3348" w:type="dxa"/>
          </w:tcPr>
          <w:p w:rsidR="006832C3" w:rsidRDefault="006832C3" w:rsidP="00EC51A2">
            <w:r>
              <w:t>25% IFD (lb.)</w:t>
            </w:r>
          </w:p>
        </w:tc>
        <w:tc>
          <w:tcPr>
            <w:tcW w:w="2160" w:type="dxa"/>
            <w:vMerge/>
          </w:tcPr>
          <w:p w:rsidR="006832C3" w:rsidRDefault="006832C3" w:rsidP="00EC51A2"/>
        </w:tc>
        <w:tc>
          <w:tcPr>
            <w:tcW w:w="900" w:type="dxa"/>
          </w:tcPr>
          <w:p w:rsidR="006832C3" w:rsidRDefault="006832C3" w:rsidP="00EC51A2">
            <w:r>
              <w:t>35</w:t>
            </w:r>
          </w:p>
        </w:tc>
      </w:tr>
      <w:tr w:rsidR="006832C3" w:rsidTr="006832C3">
        <w:tc>
          <w:tcPr>
            <w:tcW w:w="3348" w:type="dxa"/>
          </w:tcPr>
          <w:p w:rsidR="006832C3" w:rsidRDefault="006832C3" w:rsidP="00EC51A2">
            <w:r>
              <w:t>Support Factor (65%/25% min.</w:t>
            </w:r>
          </w:p>
        </w:tc>
        <w:tc>
          <w:tcPr>
            <w:tcW w:w="2160" w:type="dxa"/>
            <w:vMerge/>
          </w:tcPr>
          <w:p w:rsidR="006832C3" w:rsidRDefault="006832C3" w:rsidP="00EC51A2"/>
        </w:tc>
        <w:tc>
          <w:tcPr>
            <w:tcW w:w="900" w:type="dxa"/>
          </w:tcPr>
          <w:p w:rsidR="006832C3" w:rsidRDefault="006832C3" w:rsidP="00EC51A2">
            <w:r>
              <w:t>1.90</w:t>
            </w:r>
          </w:p>
        </w:tc>
      </w:tr>
      <w:tr w:rsidR="006832C3" w:rsidTr="006832C3">
        <w:tc>
          <w:tcPr>
            <w:tcW w:w="3348" w:type="dxa"/>
          </w:tcPr>
          <w:p w:rsidR="006832C3" w:rsidRDefault="006832C3" w:rsidP="00EC51A2">
            <w:r>
              <w:t>Tensile (PSI) min.</w:t>
            </w:r>
          </w:p>
        </w:tc>
        <w:tc>
          <w:tcPr>
            <w:tcW w:w="2160" w:type="dxa"/>
            <w:vMerge/>
          </w:tcPr>
          <w:p w:rsidR="006832C3" w:rsidRDefault="006832C3" w:rsidP="00EC51A2"/>
        </w:tc>
        <w:tc>
          <w:tcPr>
            <w:tcW w:w="900" w:type="dxa"/>
          </w:tcPr>
          <w:p w:rsidR="006832C3" w:rsidRDefault="006832C3" w:rsidP="00EC51A2">
            <w:r>
              <w:t>13.0</w:t>
            </w:r>
          </w:p>
        </w:tc>
      </w:tr>
      <w:tr w:rsidR="006832C3" w:rsidTr="006832C3">
        <w:tc>
          <w:tcPr>
            <w:tcW w:w="3348" w:type="dxa"/>
          </w:tcPr>
          <w:p w:rsidR="006832C3" w:rsidRDefault="006832C3" w:rsidP="00EC51A2">
            <w:r>
              <w:t>Elongation (%) min.</w:t>
            </w:r>
          </w:p>
        </w:tc>
        <w:tc>
          <w:tcPr>
            <w:tcW w:w="2160" w:type="dxa"/>
            <w:vMerge/>
          </w:tcPr>
          <w:p w:rsidR="006832C3" w:rsidRDefault="006832C3" w:rsidP="00EC51A2"/>
        </w:tc>
        <w:tc>
          <w:tcPr>
            <w:tcW w:w="900" w:type="dxa"/>
          </w:tcPr>
          <w:p w:rsidR="006832C3" w:rsidRDefault="006832C3" w:rsidP="00EC51A2">
            <w:r>
              <w:t>200</w:t>
            </w:r>
          </w:p>
        </w:tc>
      </w:tr>
      <w:tr w:rsidR="006832C3" w:rsidTr="006832C3">
        <w:tc>
          <w:tcPr>
            <w:tcW w:w="3348" w:type="dxa"/>
          </w:tcPr>
          <w:p w:rsidR="006832C3" w:rsidRDefault="006832C3" w:rsidP="00EC51A2">
            <w:r>
              <w:t>Tear (PPI) min.</w:t>
            </w:r>
          </w:p>
        </w:tc>
        <w:tc>
          <w:tcPr>
            <w:tcW w:w="2160" w:type="dxa"/>
            <w:vMerge/>
          </w:tcPr>
          <w:p w:rsidR="006832C3" w:rsidRDefault="006832C3" w:rsidP="00EC51A2"/>
        </w:tc>
        <w:tc>
          <w:tcPr>
            <w:tcW w:w="900" w:type="dxa"/>
          </w:tcPr>
          <w:p w:rsidR="006832C3" w:rsidRDefault="006832C3" w:rsidP="00EC51A2">
            <w:r>
              <w:t>1.30</w:t>
            </w:r>
          </w:p>
        </w:tc>
      </w:tr>
      <w:tr w:rsidR="006832C3" w:rsidTr="006832C3">
        <w:tc>
          <w:tcPr>
            <w:tcW w:w="3348" w:type="dxa"/>
          </w:tcPr>
          <w:p w:rsidR="006832C3" w:rsidRDefault="006832C3" w:rsidP="00EC51A2">
            <w:r>
              <w:t>Resiliency (%) min.</w:t>
            </w:r>
          </w:p>
        </w:tc>
        <w:tc>
          <w:tcPr>
            <w:tcW w:w="2160" w:type="dxa"/>
            <w:vMerge/>
          </w:tcPr>
          <w:p w:rsidR="006832C3" w:rsidRDefault="006832C3" w:rsidP="00EC51A2"/>
        </w:tc>
        <w:tc>
          <w:tcPr>
            <w:tcW w:w="900" w:type="dxa"/>
          </w:tcPr>
          <w:p w:rsidR="006832C3" w:rsidRDefault="006832C3" w:rsidP="00EC51A2">
            <w:r>
              <w:t>35</w:t>
            </w:r>
          </w:p>
        </w:tc>
      </w:tr>
      <w:tr w:rsidR="006832C3" w:rsidTr="006832C3">
        <w:tc>
          <w:tcPr>
            <w:tcW w:w="3348" w:type="dxa"/>
          </w:tcPr>
          <w:p w:rsidR="006832C3" w:rsidRDefault="00641691" w:rsidP="00EC51A2">
            <w:r>
              <w:t>Anti-</w:t>
            </w:r>
            <w:r w:rsidR="006832C3">
              <w:t>Static</w:t>
            </w:r>
          </w:p>
        </w:tc>
        <w:tc>
          <w:tcPr>
            <w:tcW w:w="2160" w:type="dxa"/>
            <w:vMerge/>
          </w:tcPr>
          <w:p w:rsidR="006832C3" w:rsidRDefault="006832C3" w:rsidP="00EC51A2"/>
        </w:tc>
        <w:tc>
          <w:tcPr>
            <w:tcW w:w="900" w:type="dxa"/>
          </w:tcPr>
          <w:p w:rsidR="006832C3" w:rsidRDefault="006832C3" w:rsidP="00EC51A2">
            <w:r>
              <w:t>yes</w:t>
            </w:r>
          </w:p>
        </w:tc>
      </w:tr>
    </w:tbl>
    <w:p w:rsidR="00641691" w:rsidRDefault="00641691" w:rsidP="00EC51A2"/>
    <w:p w:rsidR="0030273E" w:rsidRDefault="00134F8A" w:rsidP="00134F8A">
      <w:pPr>
        <w:pStyle w:val="Caption"/>
      </w:pPr>
      <w:r>
        <w:t xml:space="preserve">Table </w:t>
      </w:r>
      <w:r w:rsidR="00BF47F2">
        <w:fldChar w:fldCharType="begin"/>
      </w:r>
      <w:r w:rsidR="00BF47F2">
        <w:instrText xml:space="preserve"> SEQ Table \* ARABIC </w:instrText>
      </w:r>
      <w:r w:rsidR="00BF47F2">
        <w:fldChar w:fldCharType="separate"/>
      </w:r>
      <w:r>
        <w:rPr>
          <w:noProof/>
        </w:rPr>
        <w:t>3</w:t>
      </w:r>
      <w:r w:rsidR="00BF47F2">
        <w:rPr>
          <w:noProof/>
        </w:rPr>
        <w:fldChar w:fldCharType="end"/>
      </w:r>
      <w:r>
        <w:t>: Anti-Static Foam Cost Analysis</w:t>
      </w:r>
    </w:p>
    <w:tbl>
      <w:tblPr>
        <w:tblStyle w:val="TableGrid"/>
        <w:tblW w:w="0" w:type="auto"/>
        <w:tblLook w:val="04A0" w:firstRow="1" w:lastRow="0" w:firstColumn="1" w:lastColumn="0" w:noHBand="0" w:noVBand="1"/>
      </w:tblPr>
      <w:tblGrid>
        <w:gridCol w:w="2394"/>
        <w:gridCol w:w="2394"/>
        <w:gridCol w:w="2394"/>
        <w:gridCol w:w="2394"/>
      </w:tblGrid>
      <w:tr w:rsidR="0030273E" w:rsidTr="006D5F1E">
        <w:tc>
          <w:tcPr>
            <w:tcW w:w="9576" w:type="dxa"/>
            <w:gridSpan w:val="4"/>
          </w:tcPr>
          <w:p w:rsidR="0030273E" w:rsidRDefault="0030273E" w:rsidP="006D5F1E">
            <w:pPr>
              <w:jc w:val="center"/>
            </w:pPr>
            <w:r>
              <w:t>Anti-Static Foam</w:t>
            </w:r>
          </w:p>
        </w:tc>
      </w:tr>
      <w:tr w:rsidR="0030273E" w:rsidTr="006D5F1E">
        <w:tc>
          <w:tcPr>
            <w:tcW w:w="2394" w:type="dxa"/>
          </w:tcPr>
          <w:p w:rsidR="0030273E" w:rsidRDefault="0030273E" w:rsidP="006D5F1E">
            <w:pPr>
              <w:jc w:val="center"/>
            </w:pPr>
            <w:r>
              <w:t>Sheets</w:t>
            </w:r>
          </w:p>
        </w:tc>
        <w:tc>
          <w:tcPr>
            <w:tcW w:w="2394" w:type="dxa"/>
          </w:tcPr>
          <w:p w:rsidR="0030273E" w:rsidRDefault="0030273E" w:rsidP="006D5F1E">
            <w:pPr>
              <w:jc w:val="center"/>
            </w:pPr>
            <w:r>
              <w:t>Full Sheet</w:t>
            </w:r>
          </w:p>
          <w:p w:rsidR="0030273E" w:rsidRDefault="0030273E" w:rsidP="006D5F1E">
            <w:pPr>
              <w:jc w:val="center"/>
            </w:pPr>
            <w:r>
              <w:t>80” x 72”</w:t>
            </w:r>
          </w:p>
        </w:tc>
        <w:tc>
          <w:tcPr>
            <w:tcW w:w="2394" w:type="dxa"/>
          </w:tcPr>
          <w:p w:rsidR="0030273E" w:rsidRDefault="0030273E" w:rsidP="006D5F1E">
            <w:pPr>
              <w:jc w:val="center"/>
            </w:pPr>
            <w:r>
              <w:t>Half Sheet</w:t>
            </w:r>
          </w:p>
          <w:p w:rsidR="0030273E" w:rsidRDefault="0030273E" w:rsidP="006D5F1E">
            <w:pPr>
              <w:jc w:val="center"/>
            </w:pPr>
            <w:r>
              <w:t>72” x 40”</w:t>
            </w:r>
          </w:p>
        </w:tc>
        <w:tc>
          <w:tcPr>
            <w:tcW w:w="2394" w:type="dxa"/>
          </w:tcPr>
          <w:p w:rsidR="0030273E" w:rsidRDefault="0030273E" w:rsidP="006D5F1E">
            <w:pPr>
              <w:jc w:val="center"/>
            </w:pPr>
            <w:r>
              <w:t>Third Sheet</w:t>
            </w:r>
          </w:p>
          <w:p w:rsidR="0030273E" w:rsidRDefault="0030273E" w:rsidP="006D5F1E">
            <w:pPr>
              <w:jc w:val="center"/>
            </w:pPr>
            <w:r>
              <w:t>72” x 24”</w:t>
            </w:r>
          </w:p>
        </w:tc>
      </w:tr>
      <w:tr w:rsidR="0030273E" w:rsidTr="006D5F1E">
        <w:tc>
          <w:tcPr>
            <w:tcW w:w="2394" w:type="dxa"/>
          </w:tcPr>
          <w:p w:rsidR="0030273E" w:rsidRDefault="0030273E" w:rsidP="006D5F1E">
            <w:r>
              <w:t>Anti-Static Foam</w:t>
            </w:r>
          </w:p>
          <w:p w:rsidR="0030273E" w:rsidRDefault="0030273E" w:rsidP="006D5F1E">
            <w:r>
              <w:t xml:space="preserve"> 2” Thick</w:t>
            </w:r>
          </w:p>
        </w:tc>
        <w:tc>
          <w:tcPr>
            <w:tcW w:w="2394" w:type="dxa"/>
            <w:vAlign w:val="center"/>
          </w:tcPr>
          <w:p w:rsidR="0030273E" w:rsidRDefault="0030273E" w:rsidP="006D5F1E">
            <w:pPr>
              <w:jc w:val="center"/>
            </w:pPr>
            <w:r>
              <w:t>$101.99</w:t>
            </w:r>
          </w:p>
        </w:tc>
        <w:tc>
          <w:tcPr>
            <w:tcW w:w="2394" w:type="dxa"/>
            <w:vAlign w:val="center"/>
          </w:tcPr>
          <w:p w:rsidR="0030273E" w:rsidRDefault="0030273E" w:rsidP="00281151">
            <w:pPr>
              <w:jc w:val="center"/>
            </w:pPr>
            <w:r>
              <w:t>$</w:t>
            </w:r>
            <w:r w:rsidR="00281151">
              <w:t>51.99</w:t>
            </w:r>
          </w:p>
        </w:tc>
        <w:tc>
          <w:tcPr>
            <w:tcW w:w="2394" w:type="dxa"/>
            <w:vAlign w:val="center"/>
          </w:tcPr>
          <w:p w:rsidR="0030273E" w:rsidRDefault="0030273E" w:rsidP="00281151">
            <w:pPr>
              <w:jc w:val="center"/>
            </w:pPr>
            <w:r>
              <w:t>$</w:t>
            </w:r>
            <w:r w:rsidR="00281151">
              <w:t>34.99</w:t>
            </w:r>
          </w:p>
        </w:tc>
      </w:tr>
      <w:tr w:rsidR="0030273E" w:rsidTr="006D5F1E">
        <w:tc>
          <w:tcPr>
            <w:tcW w:w="2394" w:type="dxa"/>
          </w:tcPr>
          <w:p w:rsidR="0030273E" w:rsidRDefault="0030273E" w:rsidP="0030273E">
            <w:r>
              <w:t>Anti-Static Foam</w:t>
            </w:r>
          </w:p>
          <w:p w:rsidR="0030273E" w:rsidRDefault="0030273E" w:rsidP="006D5F1E">
            <w:r>
              <w:t>Foam 2 ½”” Thick</w:t>
            </w:r>
          </w:p>
        </w:tc>
        <w:tc>
          <w:tcPr>
            <w:tcW w:w="2394" w:type="dxa"/>
            <w:vAlign w:val="center"/>
          </w:tcPr>
          <w:p w:rsidR="0030273E" w:rsidRDefault="0030273E" w:rsidP="00281151">
            <w:pPr>
              <w:jc w:val="center"/>
            </w:pPr>
            <w:r>
              <w:t>$</w:t>
            </w:r>
            <w:r w:rsidR="00281151">
              <w:t>127.99</w:t>
            </w:r>
          </w:p>
        </w:tc>
        <w:tc>
          <w:tcPr>
            <w:tcW w:w="2394" w:type="dxa"/>
            <w:vAlign w:val="center"/>
          </w:tcPr>
          <w:p w:rsidR="0030273E" w:rsidRDefault="0030273E" w:rsidP="00281151">
            <w:pPr>
              <w:jc w:val="center"/>
            </w:pPr>
            <w:r>
              <w:t>$</w:t>
            </w:r>
            <w:r w:rsidR="00281151">
              <w:t>64.99</w:t>
            </w:r>
          </w:p>
        </w:tc>
        <w:tc>
          <w:tcPr>
            <w:tcW w:w="2394" w:type="dxa"/>
            <w:vAlign w:val="center"/>
          </w:tcPr>
          <w:p w:rsidR="0030273E" w:rsidRDefault="0030273E" w:rsidP="00281151">
            <w:pPr>
              <w:jc w:val="center"/>
            </w:pPr>
            <w:r>
              <w:t>$</w:t>
            </w:r>
            <w:r w:rsidR="00281151">
              <w:t>43.99</w:t>
            </w:r>
          </w:p>
        </w:tc>
      </w:tr>
      <w:tr w:rsidR="0030273E" w:rsidTr="006D5F1E">
        <w:tc>
          <w:tcPr>
            <w:tcW w:w="2394" w:type="dxa"/>
          </w:tcPr>
          <w:p w:rsidR="0030273E" w:rsidRDefault="0030273E" w:rsidP="0030273E">
            <w:r>
              <w:t>Anti-Static Foam</w:t>
            </w:r>
          </w:p>
          <w:p w:rsidR="0030273E" w:rsidRDefault="0030273E" w:rsidP="006D5F1E">
            <w:r>
              <w:t>Foam 3” Thick</w:t>
            </w:r>
          </w:p>
        </w:tc>
        <w:tc>
          <w:tcPr>
            <w:tcW w:w="2394" w:type="dxa"/>
            <w:vAlign w:val="center"/>
          </w:tcPr>
          <w:p w:rsidR="0030273E" w:rsidRDefault="0030273E" w:rsidP="00281151">
            <w:pPr>
              <w:jc w:val="center"/>
            </w:pPr>
            <w:r>
              <w:t>$</w:t>
            </w:r>
            <w:r w:rsidR="00281151">
              <w:t>152.99</w:t>
            </w:r>
          </w:p>
        </w:tc>
        <w:tc>
          <w:tcPr>
            <w:tcW w:w="2394" w:type="dxa"/>
            <w:vAlign w:val="center"/>
          </w:tcPr>
          <w:p w:rsidR="0030273E" w:rsidRDefault="0030273E" w:rsidP="00281151">
            <w:pPr>
              <w:jc w:val="center"/>
            </w:pPr>
            <w:r>
              <w:t>$</w:t>
            </w:r>
            <w:r w:rsidR="00281151">
              <w:t>76.99</w:t>
            </w:r>
          </w:p>
        </w:tc>
        <w:tc>
          <w:tcPr>
            <w:tcW w:w="2394" w:type="dxa"/>
            <w:vAlign w:val="center"/>
          </w:tcPr>
          <w:p w:rsidR="0030273E" w:rsidRDefault="0030273E" w:rsidP="00281151">
            <w:pPr>
              <w:jc w:val="center"/>
            </w:pPr>
            <w:r>
              <w:t>$</w:t>
            </w:r>
            <w:r w:rsidR="00281151">
              <w:t>51.99</w:t>
            </w:r>
          </w:p>
        </w:tc>
      </w:tr>
    </w:tbl>
    <w:p w:rsidR="007A4EED" w:rsidRDefault="007A4EED" w:rsidP="00EC51A2">
      <w:pPr>
        <w:rPr>
          <w:b/>
        </w:rPr>
      </w:pPr>
    </w:p>
    <w:p w:rsidR="001236CE" w:rsidRDefault="001236CE" w:rsidP="00EC51A2">
      <w:pPr>
        <w:rPr>
          <w:b/>
        </w:rPr>
      </w:pPr>
    </w:p>
    <w:p w:rsidR="001236CE" w:rsidRDefault="001236CE" w:rsidP="00EC51A2">
      <w:pPr>
        <w:rPr>
          <w:b/>
        </w:rPr>
      </w:pPr>
    </w:p>
    <w:p w:rsidR="001236CE" w:rsidRDefault="001236CE" w:rsidP="00EC51A2">
      <w:pPr>
        <w:rPr>
          <w:b/>
        </w:rPr>
      </w:pPr>
    </w:p>
    <w:p w:rsidR="001236CE" w:rsidRDefault="001236CE" w:rsidP="00EC51A2">
      <w:pPr>
        <w:rPr>
          <w:b/>
        </w:rPr>
      </w:pPr>
    </w:p>
    <w:p w:rsidR="00856D98" w:rsidRDefault="00856D98" w:rsidP="00EC51A2">
      <w:pPr>
        <w:rPr>
          <w:b/>
        </w:rPr>
      </w:pPr>
    </w:p>
    <w:p w:rsidR="001236CE" w:rsidRDefault="001236CE" w:rsidP="00EC51A2">
      <w:pPr>
        <w:rPr>
          <w:b/>
        </w:rPr>
      </w:pPr>
    </w:p>
    <w:p w:rsidR="001236CE" w:rsidRDefault="00180861" w:rsidP="00EC51A2">
      <w:r w:rsidRPr="00180861">
        <w:rPr>
          <w:b/>
        </w:rPr>
        <w:lastRenderedPageBreak/>
        <w:t>Charco</w:t>
      </w:r>
      <w:r>
        <w:rPr>
          <w:b/>
        </w:rPr>
        <w:t>al-R</w:t>
      </w:r>
      <w:r>
        <w:t xml:space="preserve"> </w:t>
      </w:r>
      <w:r>
        <w:rPr>
          <w:b/>
        </w:rPr>
        <w:t>F</w:t>
      </w:r>
      <w:r w:rsidRPr="00180861">
        <w:rPr>
          <w:b/>
        </w:rPr>
        <w:t>oam</w:t>
      </w:r>
      <w:r>
        <w:t xml:space="preserve"> is </w:t>
      </w:r>
      <w:r w:rsidR="00950A22">
        <w:t>good quality foam with a medium feel.  Common applications include cost-effective acoustics, cases and packaging.</w:t>
      </w:r>
    </w:p>
    <w:p w:rsidR="001236CE" w:rsidRDefault="001236CE" w:rsidP="00EC51A2"/>
    <w:p w:rsidR="00641691" w:rsidRDefault="00641691" w:rsidP="00641691">
      <w:pPr>
        <w:pStyle w:val="Caption"/>
      </w:pPr>
      <w:r>
        <w:t xml:space="preserve">Table </w:t>
      </w:r>
      <w:r w:rsidR="00BF47F2">
        <w:fldChar w:fldCharType="begin"/>
      </w:r>
      <w:r w:rsidR="00BF47F2">
        <w:instrText xml:space="preserve"> SEQ Table \* ARABIC </w:instrText>
      </w:r>
      <w:r w:rsidR="00BF47F2">
        <w:fldChar w:fldCharType="separate"/>
      </w:r>
      <w:r w:rsidR="00134F8A">
        <w:rPr>
          <w:noProof/>
        </w:rPr>
        <w:t>4</w:t>
      </w:r>
      <w:r w:rsidR="00BF47F2">
        <w:rPr>
          <w:noProof/>
        </w:rPr>
        <w:fldChar w:fldCharType="end"/>
      </w:r>
      <w:r>
        <w:t>: Technical Charcoal Regular (R) Foam Information</w:t>
      </w:r>
    </w:p>
    <w:tbl>
      <w:tblPr>
        <w:tblStyle w:val="TableGrid"/>
        <w:tblW w:w="0" w:type="auto"/>
        <w:tblLook w:val="04A0" w:firstRow="1" w:lastRow="0" w:firstColumn="1" w:lastColumn="0" w:noHBand="0" w:noVBand="1"/>
      </w:tblPr>
      <w:tblGrid>
        <w:gridCol w:w="3348"/>
        <w:gridCol w:w="2160"/>
        <w:gridCol w:w="2250"/>
      </w:tblGrid>
      <w:tr w:rsidR="00950A22" w:rsidTr="00950A22">
        <w:tc>
          <w:tcPr>
            <w:tcW w:w="3348" w:type="dxa"/>
          </w:tcPr>
          <w:p w:rsidR="00950A22" w:rsidRDefault="00950A22" w:rsidP="006D5F1E">
            <w:r>
              <w:t>Property</w:t>
            </w:r>
          </w:p>
        </w:tc>
        <w:tc>
          <w:tcPr>
            <w:tcW w:w="2160" w:type="dxa"/>
          </w:tcPr>
          <w:p w:rsidR="00950A22" w:rsidRDefault="00950A22" w:rsidP="006D5F1E">
            <w:pPr>
              <w:jc w:val="center"/>
            </w:pPr>
            <w:r>
              <w:t>Test Method</w:t>
            </w:r>
          </w:p>
        </w:tc>
        <w:tc>
          <w:tcPr>
            <w:tcW w:w="2250" w:type="dxa"/>
          </w:tcPr>
          <w:p w:rsidR="00950A22" w:rsidRDefault="00950A22" w:rsidP="00950A22">
            <w:pPr>
              <w:jc w:val="center"/>
            </w:pPr>
            <w:r>
              <w:t>Values</w:t>
            </w:r>
          </w:p>
        </w:tc>
      </w:tr>
      <w:tr w:rsidR="00950A22" w:rsidTr="00950A22">
        <w:tc>
          <w:tcPr>
            <w:tcW w:w="3348" w:type="dxa"/>
          </w:tcPr>
          <w:p w:rsidR="00950A22" w:rsidRDefault="00950A22" w:rsidP="006D5F1E">
            <w:r>
              <w:t>Density (</w:t>
            </w:r>
            <w:proofErr w:type="spellStart"/>
            <w:r>
              <w:t>lb</w:t>
            </w:r>
            <w:proofErr w:type="spellEnd"/>
            <w:r>
              <w:t>/</w:t>
            </w:r>
            <w:proofErr w:type="spellStart"/>
            <w:r>
              <w:t>cu.ft</w:t>
            </w:r>
            <w:proofErr w:type="spellEnd"/>
            <w:r>
              <w:t>.)</w:t>
            </w:r>
          </w:p>
        </w:tc>
        <w:tc>
          <w:tcPr>
            <w:tcW w:w="2160" w:type="dxa"/>
            <w:vMerge w:val="restart"/>
            <w:vAlign w:val="center"/>
          </w:tcPr>
          <w:p w:rsidR="00950A22" w:rsidRDefault="00950A22" w:rsidP="006D5F1E">
            <w:pPr>
              <w:jc w:val="center"/>
            </w:pPr>
            <w:r>
              <w:t>ASTM D 3574 (all)</w:t>
            </w:r>
          </w:p>
        </w:tc>
        <w:tc>
          <w:tcPr>
            <w:tcW w:w="2250" w:type="dxa"/>
          </w:tcPr>
          <w:p w:rsidR="00950A22" w:rsidRDefault="00950A22" w:rsidP="00950A22">
            <w:pPr>
              <w:jc w:val="center"/>
            </w:pPr>
            <w:r>
              <w:t>1.4</w:t>
            </w:r>
          </w:p>
        </w:tc>
      </w:tr>
      <w:tr w:rsidR="00950A22" w:rsidTr="00950A22">
        <w:tc>
          <w:tcPr>
            <w:tcW w:w="3348" w:type="dxa"/>
          </w:tcPr>
          <w:p w:rsidR="00950A22" w:rsidRDefault="00950A22" w:rsidP="006D5F1E">
            <w:r>
              <w:t>25% IFD (lb.)</w:t>
            </w:r>
          </w:p>
        </w:tc>
        <w:tc>
          <w:tcPr>
            <w:tcW w:w="2160" w:type="dxa"/>
            <w:vMerge/>
          </w:tcPr>
          <w:p w:rsidR="00950A22" w:rsidRDefault="00950A22" w:rsidP="006D5F1E"/>
        </w:tc>
        <w:tc>
          <w:tcPr>
            <w:tcW w:w="2250" w:type="dxa"/>
          </w:tcPr>
          <w:p w:rsidR="00950A22" w:rsidRDefault="00950A22" w:rsidP="00950A22">
            <w:pPr>
              <w:jc w:val="center"/>
            </w:pPr>
            <w:r>
              <w:t>35</w:t>
            </w:r>
          </w:p>
        </w:tc>
      </w:tr>
      <w:tr w:rsidR="00950A22" w:rsidTr="00950A22">
        <w:tc>
          <w:tcPr>
            <w:tcW w:w="3348" w:type="dxa"/>
          </w:tcPr>
          <w:p w:rsidR="00950A22" w:rsidRDefault="00950A22" w:rsidP="006D5F1E">
            <w:r>
              <w:t>Support Factor (65%/25% min.</w:t>
            </w:r>
          </w:p>
        </w:tc>
        <w:tc>
          <w:tcPr>
            <w:tcW w:w="2160" w:type="dxa"/>
            <w:vMerge/>
          </w:tcPr>
          <w:p w:rsidR="00950A22" w:rsidRDefault="00950A22" w:rsidP="006D5F1E"/>
        </w:tc>
        <w:tc>
          <w:tcPr>
            <w:tcW w:w="2250" w:type="dxa"/>
          </w:tcPr>
          <w:p w:rsidR="00950A22" w:rsidRDefault="00950A22" w:rsidP="00950A22">
            <w:pPr>
              <w:jc w:val="center"/>
            </w:pPr>
            <w:r>
              <w:t>1.90</w:t>
            </w:r>
          </w:p>
        </w:tc>
      </w:tr>
      <w:tr w:rsidR="00950A22" w:rsidTr="00950A22">
        <w:tc>
          <w:tcPr>
            <w:tcW w:w="3348" w:type="dxa"/>
          </w:tcPr>
          <w:p w:rsidR="00950A22" w:rsidRDefault="00950A22" w:rsidP="006D5F1E">
            <w:r>
              <w:t>Air Flow (CFM) min.</w:t>
            </w:r>
          </w:p>
        </w:tc>
        <w:tc>
          <w:tcPr>
            <w:tcW w:w="2160" w:type="dxa"/>
            <w:vMerge/>
          </w:tcPr>
          <w:p w:rsidR="00950A22" w:rsidRDefault="00950A22" w:rsidP="006D5F1E"/>
        </w:tc>
        <w:tc>
          <w:tcPr>
            <w:tcW w:w="2250" w:type="dxa"/>
          </w:tcPr>
          <w:p w:rsidR="00950A22" w:rsidRDefault="00950A22" w:rsidP="00950A22">
            <w:pPr>
              <w:jc w:val="center"/>
            </w:pPr>
            <w:r>
              <w:t>3.00</w:t>
            </w:r>
          </w:p>
        </w:tc>
      </w:tr>
      <w:tr w:rsidR="00950A22" w:rsidTr="00950A22">
        <w:tc>
          <w:tcPr>
            <w:tcW w:w="3348" w:type="dxa"/>
          </w:tcPr>
          <w:p w:rsidR="00950A22" w:rsidRDefault="00950A22" w:rsidP="006D5F1E">
            <w:r>
              <w:t>Tensile (PSI) min.</w:t>
            </w:r>
          </w:p>
        </w:tc>
        <w:tc>
          <w:tcPr>
            <w:tcW w:w="2160" w:type="dxa"/>
            <w:vMerge/>
          </w:tcPr>
          <w:p w:rsidR="00950A22" w:rsidRDefault="00950A22" w:rsidP="006D5F1E"/>
        </w:tc>
        <w:tc>
          <w:tcPr>
            <w:tcW w:w="2250" w:type="dxa"/>
          </w:tcPr>
          <w:p w:rsidR="00950A22" w:rsidRDefault="00950A22" w:rsidP="00950A22">
            <w:pPr>
              <w:jc w:val="center"/>
            </w:pPr>
            <w:r>
              <w:t>14.0</w:t>
            </w:r>
          </w:p>
        </w:tc>
      </w:tr>
      <w:tr w:rsidR="00950A22" w:rsidTr="00950A22">
        <w:tc>
          <w:tcPr>
            <w:tcW w:w="3348" w:type="dxa"/>
          </w:tcPr>
          <w:p w:rsidR="00950A22" w:rsidRDefault="00950A22" w:rsidP="006D5F1E">
            <w:r>
              <w:t>Elongation (%) min.</w:t>
            </w:r>
          </w:p>
        </w:tc>
        <w:tc>
          <w:tcPr>
            <w:tcW w:w="2160" w:type="dxa"/>
            <w:vMerge/>
          </w:tcPr>
          <w:p w:rsidR="00950A22" w:rsidRDefault="00950A22" w:rsidP="006D5F1E"/>
        </w:tc>
        <w:tc>
          <w:tcPr>
            <w:tcW w:w="2250" w:type="dxa"/>
          </w:tcPr>
          <w:p w:rsidR="00950A22" w:rsidRDefault="00950A22" w:rsidP="00950A22">
            <w:pPr>
              <w:jc w:val="center"/>
            </w:pPr>
            <w:r>
              <w:t>200</w:t>
            </w:r>
          </w:p>
        </w:tc>
      </w:tr>
      <w:tr w:rsidR="00950A22" w:rsidTr="00950A22">
        <w:tc>
          <w:tcPr>
            <w:tcW w:w="3348" w:type="dxa"/>
          </w:tcPr>
          <w:p w:rsidR="00950A22" w:rsidRDefault="00950A22" w:rsidP="006D5F1E">
            <w:r>
              <w:t>Tear (PPI) min.</w:t>
            </w:r>
          </w:p>
        </w:tc>
        <w:tc>
          <w:tcPr>
            <w:tcW w:w="2160" w:type="dxa"/>
            <w:vMerge/>
          </w:tcPr>
          <w:p w:rsidR="00950A22" w:rsidRDefault="00950A22" w:rsidP="006D5F1E"/>
        </w:tc>
        <w:tc>
          <w:tcPr>
            <w:tcW w:w="2250" w:type="dxa"/>
          </w:tcPr>
          <w:p w:rsidR="00950A22" w:rsidRDefault="00950A22" w:rsidP="00950A22">
            <w:pPr>
              <w:jc w:val="center"/>
            </w:pPr>
            <w:r>
              <w:t>1.50</w:t>
            </w:r>
          </w:p>
        </w:tc>
      </w:tr>
      <w:tr w:rsidR="00950A22" w:rsidTr="00950A22">
        <w:tc>
          <w:tcPr>
            <w:tcW w:w="3348" w:type="dxa"/>
          </w:tcPr>
          <w:p w:rsidR="00950A22" w:rsidRDefault="00950A22" w:rsidP="006D5F1E">
            <w:r>
              <w:t>Resiliency (%) min.</w:t>
            </w:r>
          </w:p>
        </w:tc>
        <w:tc>
          <w:tcPr>
            <w:tcW w:w="2160" w:type="dxa"/>
            <w:vMerge/>
          </w:tcPr>
          <w:p w:rsidR="00950A22" w:rsidRDefault="00950A22" w:rsidP="006D5F1E"/>
        </w:tc>
        <w:tc>
          <w:tcPr>
            <w:tcW w:w="2250" w:type="dxa"/>
          </w:tcPr>
          <w:p w:rsidR="00950A22" w:rsidRDefault="00950A22" w:rsidP="00950A22">
            <w:pPr>
              <w:jc w:val="center"/>
            </w:pPr>
            <w:r>
              <w:t>40</w:t>
            </w:r>
          </w:p>
        </w:tc>
      </w:tr>
      <w:tr w:rsidR="00950A22" w:rsidTr="00950A22">
        <w:tc>
          <w:tcPr>
            <w:tcW w:w="3348" w:type="dxa"/>
          </w:tcPr>
          <w:p w:rsidR="00950A22" w:rsidRDefault="00950A22" w:rsidP="006D5F1E">
            <w:r>
              <w:t>Fire Retardant Classification</w:t>
            </w:r>
          </w:p>
        </w:tc>
        <w:tc>
          <w:tcPr>
            <w:tcW w:w="2160" w:type="dxa"/>
            <w:vMerge/>
          </w:tcPr>
          <w:p w:rsidR="00950A22" w:rsidRDefault="00950A22" w:rsidP="006D5F1E"/>
        </w:tc>
        <w:tc>
          <w:tcPr>
            <w:tcW w:w="2250" w:type="dxa"/>
          </w:tcPr>
          <w:p w:rsidR="00950A22" w:rsidRDefault="00950A22" w:rsidP="006D5F1E">
            <w:r>
              <w:t>UL900, Class 2, Non Fire Retardant</w:t>
            </w:r>
          </w:p>
        </w:tc>
      </w:tr>
    </w:tbl>
    <w:p w:rsidR="00950A22" w:rsidRDefault="00950A22" w:rsidP="00EC51A2"/>
    <w:p w:rsidR="00134F8A" w:rsidRDefault="00134F8A" w:rsidP="00134F8A">
      <w:pPr>
        <w:pStyle w:val="Caption"/>
      </w:pPr>
      <w:r>
        <w:t xml:space="preserve">Table </w:t>
      </w:r>
      <w:r w:rsidR="00BF47F2">
        <w:fldChar w:fldCharType="begin"/>
      </w:r>
      <w:r w:rsidR="00BF47F2">
        <w:instrText xml:space="preserve"> SEQ Table \* ARABIC </w:instrText>
      </w:r>
      <w:r w:rsidR="00BF47F2">
        <w:fldChar w:fldCharType="separate"/>
      </w:r>
      <w:r>
        <w:rPr>
          <w:noProof/>
        </w:rPr>
        <w:t>5</w:t>
      </w:r>
      <w:r w:rsidR="00BF47F2">
        <w:rPr>
          <w:noProof/>
        </w:rPr>
        <w:fldChar w:fldCharType="end"/>
      </w:r>
      <w:r>
        <w:t>: Charcoal R Foam Cost Analysis</w:t>
      </w:r>
    </w:p>
    <w:tbl>
      <w:tblPr>
        <w:tblStyle w:val="TableGrid"/>
        <w:tblW w:w="0" w:type="auto"/>
        <w:tblLook w:val="04A0" w:firstRow="1" w:lastRow="0" w:firstColumn="1" w:lastColumn="0" w:noHBand="0" w:noVBand="1"/>
      </w:tblPr>
      <w:tblGrid>
        <w:gridCol w:w="2394"/>
        <w:gridCol w:w="2394"/>
        <w:gridCol w:w="2394"/>
        <w:gridCol w:w="2394"/>
      </w:tblGrid>
      <w:tr w:rsidR="0030273E" w:rsidTr="006D5F1E">
        <w:tc>
          <w:tcPr>
            <w:tcW w:w="9576" w:type="dxa"/>
            <w:gridSpan w:val="4"/>
          </w:tcPr>
          <w:p w:rsidR="0030273E" w:rsidRDefault="0030273E" w:rsidP="0030273E">
            <w:pPr>
              <w:jc w:val="center"/>
            </w:pPr>
            <w:r>
              <w:t>Charcoal Regular Foam</w:t>
            </w:r>
          </w:p>
        </w:tc>
      </w:tr>
      <w:tr w:rsidR="0030273E" w:rsidTr="0030273E">
        <w:tc>
          <w:tcPr>
            <w:tcW w:w="2394" w:type="dxa"/>
          </w:tcPr>
          <w:p w:rsidR="0030273E" w:rsidRDefault="0030273E" w:rsidP="0030273E">
            <w:pPr>
              <w:jc w:val="center"/>
            </w:pPr>
            <w:r>
              <w:t>Sheets</w:t>
            </w:r>
          </w:p>
        </w:tc>
        <w:tc>
          <w:tcPr>
            <w:tcW w:w="2394" w:type="dxa"/>
          </w:tcPr>
          <w:p w:rsidR="0030273E" w:rsidRDefault="0030273E" w:rsidP="0030273E">
            <w:pPr>
              <w:jc w:val="center"/>
            </w:pPr>
            <w:r>
              <w:t>Full Sheet</w:t>
            </w:r>
          </w:p>
          <w:p w:rsidR="0030273E" w:rsidRDefault="0030273E" w:rsidP="0030273E">
            <w:pPr>
              <w:jc w:val="center"/>
            </w:pPr>
            <w:r>
              <w:t>80” x 72”</w:t>
            </w:r>
          </w:p>
        </w:tc>
        <w:tc>
          <w:tcPr>
            <w:tcW w:w="2394" w:type="dxa"/>
          </w:tcPr>
          <w:p w:rsidR="0030273E" w:rsidRDefault="0030273E" w:rsidP="0030273E">
            <w:pPr>
              <w:jc w:val="center"/>
            </w:pPr>
            <w:r>
              <w:t>Half Sheet</w:t>
            </w:r>
          </w:p>
          <w:p w:rsidR="0030273E" w:rsidRDefault="0030273E" w:rsidP="0030273E">
            <w:pPr>
              <w:jc w:val="center"/>
            </w:pPr>
            <w:r>
              <w:t>72” x 40”</w:t>
            </w:r>
          </w:p>
        </w:tc>
        <w:tc>
          <w:tcPr>
            <w:tcW w:w="2394" w:type="dxa"/>
          </w:tcPr>
          <w:p w:rsidR="0030273E" w:rsidRDefault="0030273E" w:rsidP="0030273E">
            <w:pPr>
              <w:jc w:val="center"/>
            </w:pPr>
            <w:r>
              <w:t>Third Sheet</w:t>
            </w:r>
          </w:p>
          <w:p w:rsidR="0030273E" w:rsidRDefault="0030273E" w:rsidP="0030273E">
            <w:pPr>
              <w:jc w:val="center"/>
            </w:pPr>
            <w:r>
              <w:t>72” x 24”</w:t>
            </w:r>
          </w:p>
        </w:tc>
      </w:tr>
      <w:tr w:rsidR="0030273E" w:rsidTr="0030273E">
        <w:tc>
          <w:tcPr>
            <w:tcW w:w="2394" w:type="dxa"/>
          </w:tcPr>
          <w:p w:rsidR="0030273E" w:rsidRDefault="0030273E" w:rsidP="00EC51A2">
            <w:r>
              <w:t>Charcoal Regular Foam 2” Thick</w:t>
            </w:r>
          </w:p>
        </w:tc>
        <w:tc>
          <w:tcPr>
            <w:tcW w:w="2394" w:type="dxa"/>
            <w:vAlign w:val="center"/>
          </w:tcPr>
          <w:p w:rsidR="0030273E" w:rsidRDefault="0030273E" w:rsidP="0030273E">
            <w:pPr>
              <w:jc w:val="center"/>
            </w:pPr>
            <w:r>
              <w:t>$59.99</w:t>
            </w:r>
          </w:p>
        </w:tc>
        <w:tc>
          <w:tcPr>
            <w:tcW w:w="2394" w:type="dxa"/>
            <w:vAlign w:val="center"/>
          </w:tcPr>
          <w:p w:rsidR="0030273E" w:rsidRDefault="0030273E" w:rsidP="0030273E">
            <w:pPr>
              <w:jc w:val="center"/>
            </w:pPr>
            <w:r>
              <w:t>$30.99</w:t>
            </w:r>
          </w:p>
        </w:tc>
        <w:tc>
          <w:tcPr>
            <w:tcW w:w="2394" w:type="dxa"/>
            <w:vAlign w:val="center"/>
          </w:tcPr>
          <w:p w:rsidR="0030273E" w:rsidRDefault="0030273E" w:rsidP="0030273E">
            <w:pPr>
              <w:jc w:val="center"/>
            </w:pPr>
            <w:r>
              <w:t>$20.99</w:t>
            </w:r>
          </w:p>
        </w:tc>
      </w:tr>
      <w:tr w:rsidR="0030273E" w:rsidTr="0030273E">
        <w:tc>
          <w:tcPr>
            <w:tcW w:w="2394" w:type="dxa"/>
          </w:tcPr>
          <w:p w:rsidR="0030273E" w:rsidRDefault="0030273E" w:rsidP="006D5F1E">
            <w:r>
              <w:t>Charcoal Regular Foam 2 ½”” Thick</w:t>
            </w:r>
          </w:p>
        </w:tc>
        <w:tc>
          <w:tcPr>
            <w:tcW w:w="2394" w:type="dxa"/>
            <w:vAlign w:val="center"/>
          </w:tcPr>
          <w:p w:rsidR="0030273E" w:rsidRDefault="0030273E" w:rsidP="0030273E">
            <w:pPr>
              <w:jc w:val="center"/>
            </w:pPr>
            <w:r>
              <w:t>$73.99</w:t>
            </w:r>
          </w:p>
        </w:tc>
        <w:tc>
          <w:tcPr>
            <w:tcW w:w="2394" w:type="dxa"/>
            <w:vAlign w:val="center"/>
          </w:tcPr>
          <w:p w:rsidR="0030273E" w:rsidRDefault="0030273E" w:rsidP="0030273E">
            <w:pPr>
              <w:jc w:val="center"/>
            </w:pPr>
            <w:r>
              <w:t>$37.99</w:t>
            </w:r>
          </w:p>
        </w:tc>
        <w:tc>
          <w:tcPr>
            <w:tcW w:w="2394" w:type="dxa"/>
            <w:vAlign w:val="center"/>
          </w:tcPr>
          <w:p w:rsidR="0030273E" w:rsidRDefault="0030273E" w:rsidP="0030273E">
            <w:pPr>
              <w:jc w:val="center"/>
            </w:pPr>
            <w:r>
              <w:t>$25.99</w:t>
            </w:r>
          </w:p>
        </w:tc>
      </w:tr>
      <w:tr w:rsidR="0030273E" w:rsidTr="0030273E">
        <w:tc>
          <w:tcPr>
            <w:tcW w:w="2394" w:type="dxa"/>
          </w:tcPr>
          <w:p w:rsidR="0030273E" w:rsidRDefault="0030273E" w:rsidP="006D5F1E">
            <w:r>
              <w:t>Charcoal Regular Foam 3” Thick</w:t>
            </w:r>
          </w:p>
        </w:tc>
        <w:tc>
          <w:tcPr>
            <w:tcW w:w="2394" w:type="dxa"/>
            <w:vAlign w:val="center"/>
          </w:tcPr>
          <w:p w:rsidR="0030273E" w:rsidRDefault="0030273E" w:rsidP="0030273E">
            <w:pPr>
              <w:jc w:val="center"/>
            </w:pPr>
            <w:r>
              <w:t>$88.99</w:t>
            </w:r>
          </w:p>
        </w:tc>
        <w:tc>
          <w:tcPr>
            <w:tcW w:w="2394" w:type="dxa"/>
            <w:vAlign w:val="center"/>
          </w:tcPr>
          <w:p w:rsidR="0030273E" w:rsidRDefault="0030273E" w:rsidP="0030273E">
            <w:pPr>
              <w:jc w:val="center"/>
            </w:pPr>
            <w:r>
              <w:t>$44.99</w:t>
            </w:r>
          </w:p>
        </w:tc>
        <w:tc>
          <w:tcPr>
            <w:tcW w:w="2394" w:type="dxa"/>
            <w:vAlign w:val="center"/>
          </w:tcPr>
          <w:p w:rsidR="0030273E" w:rsidRDefault="0030273E" w:rsidP="0030273E">
            <w:pPr>
              <w:jc w:val="center"/>
            </w:pPr>
            <w:r>
              <w:t>$30.99</w:t>
            </w:r>
          </w:p>
        </w:tc>
      </w:tr>
    </w:tbl>
    <w:p w:rsidR="0030273E" w:rsidRDefault="0030273E" w:rsidP="00EC51A2"/>
    <w:p w:rsidR="002D68D0" w:rsidRDefault="00F243A6" w:rsidP="00EC51A2">
      <w:r>
        <w:rPr>
          <w:noProof/>
        </w:rPr>
        <w:lastRenderedPageBreak/>
        <mc:AlternateContent>
          <mc:Choice Requires="wps">
            <w:drawing>
              <wp:anchor distT="0" distB="0" distL="114300" distR="114300" simplePos="0" relativeHeight="251659264" behindDoc="0" locked="0" layoutInCell="1" allowOverlap="1" wp14:anchorId="4CE5E5D4" wp14:editId="2AAEC6B7">
                <wp:simplePos x="0" y="0"/>
                <wp:positionH relativeFrom="column">
                  <wp:posOffset>3517900</wp:posOffset>
                </wp:positionH>
                <wp:positionV relativeFrom="paragraph">
                  <wp:posOffset>635000</wp:posOffset>
                </wp:positionV>
                <wp:extent cx="1149350" cy="292100"/>
                <wp:effectExtent l="0" t="0" r="1270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292100"/>
                        </a:xfrm>
                        <a:prstGeom prst="rect">
                          <a:avLst/>
                        </a:prstGeom>
                        <a:solidFill>
                          <a:srgbClr val="FFFFFF"/>
                        </a:solidFill>
                        <a:ln w="9525">
                          <a:solidFill>
                            <a:srgbClr val="000000"/>
                          </a:solidFill>
                          <a:miter lim="800000"/>
                          <a:headEnd/>
                          <a:tailEnd/>
                        </a:ln>
                      </wps:spPr>
                      <wps:txbx>
                        <w:txbxContent>
                          <w:p w:rsidR="00424BB3" w:rsidRDefault="00424BB3" w:rsidP="00F243A6">
                            <w:pPr>
                              <w:jc w:val="center"/>
                            </w:pPr>
                            <w:r>
                              <w:t>3” x 27” Foam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277pt;margin-top:50pt;width:90.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sJwIAAE0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">
                <v:textbox>
                  <w:txbxContent>
                    <w:p w:rsidR="00424BB3" w:rsidRDefault="00424BB3" w:rsidP="00F243A6">
                      <w:pPr>
                        <w:jc w:val="center"/>
                      </w:pPr>
                      <w:r>
                        <w:t>3” x 27” Foam</w:t>
                      </w:r>
                    </w:p>
                  </w:txbxContent>
                </v:textbox>
              </v:shape>
            </w:pict>
          </mc:Fallback>
        </mc:AlternateContent>
      </w:r>
      <w:r w:rsidR="001564BE">
        <w:rPr>
          <w:noProof/>
        </w:rPr>
        <mc:AlternateContent>
          <mc:Choice Requires="wps">
            <w:drawing>
              <wp:anchor distT="0" distB="0" distL="114300" distR="114300" simplePos="0" relativeHeight="251661312" behindDoc="0" locked="0" layoutInCell="1" allowOverlap="1" wp14:anchorId="0E0A2603" wp14:editId="3660F82A">
                <wp:simplePos x="0" y="0"/>
                <wp:positionH relativeFrom="column">
                  <wp:posOffset>3340100</wp:posOffset>
                </wp:positionH>
                <wp:positionV relativeFrom="paragraph">
                  <wp:posOffset>785495</wp:posOffset>
                </wp:positionV>
                <wp:extent cx="177800" cy="1606550"/>
                <wp:effectExtent l="76200" t="0" r="31750" b="50800"/>
                <wp:wrapNone/>
                <wp:docPr id="4" name="Straight Arrow Connector 4"/>
                <wp:cNvGraphicFramePr/>
                <a:graphic xmlns:a="http://schemas.openxmlformats.org/drawingml/2006/main">
                  <a:graphicData uri="http://schemas.microsoft.com/office/word/2010/wordprocessingShape">
                    <wps:wsp>
                      <wps:cNvCnPr/>
                      <wps:spPr>
                        <a:xfrm flipH="1">
                          <a:off x="0" y="0"/>
                          <a:ext cx="177800" cy="1606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Straight Arrow Connector 4" o:spid="_x0000_s1026" type="#_x0000_t32" style="position:absolute;margin-left:263pt;margin-top:61.85pt;width:14pt;height:126.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" strokecolor="black [3213]">
                <v:stroke endarrow="open"/>
              </v:shape>
            </w:pict>
          </mc:Fallback>
        </mc:AlternateContent>
      </w:r>
      <w:r w:rsidR="001564BE">
        <w:rPr>
          <w:noProof/>
        </w:rPr>
        <mc:AlternateContent>
          <mc:Choice Requires="wps">
            <w:drawing>
              <wp:anchor distT="0" distB="0" distL="114300" distR="114300" simplePos="0" relativeHeight="251660288" behindDoc="0" locked="0" layoutInCell="1" allowOverlap="1" wp14:anchorId="411D2A24" wp14:editId="16E67A7A">
                <wp:simplePos x="0" y="0"/>
                <wp:positionH relativeFrom="column">
                  <wp:posOffset>2832100</wp:posOffset>
                </wp:positionH>
                <wp:positionV relativeFrom="paragraph">
                  <wp:posOffset>785495</wp:posOffset>
                </wp:positionV>
                <wp:extent cx="685800" cy="647700"/>
                <wp:effectExtent l="38100" t="0" r="19050" b="57150"/>
                <wp:wrapNone/>
                <wp:docPr id="3" name="Straight Arrow Connector 3"/>
                <wp:cNvGraphicFramePr/>
                <a:graphic xmlns:a="http://schemas.openxmlformats.org/drawingml/2006/main">
                  <a:graphicData uri="http://schemas.microsoft.com/office/word/2010/wordprocessingShape">
                    <wps:wsp>
                      <wps:cNvCnPr/>
                      <wps:spPr>
                        <a:xfrm flipH="1">
                          <a:off x="0" y="0"/>
                          <a:ext cx="685800" cy="647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shape id="Straight Arrow Connector 3" o:spid="_x0000_s1026" type="#_x0000_t32" style="position:absolute;margin-left:223pt;margin-top:61.85pt;width:54pt;height:51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" strokecolor="black [3213]">
                <v:stroke endarrow="open"/>
              </v:shape>
            </w:pict>
          </mc:Fallback>
        </mc:AlternateContent>
      </w:r>
      <w:r w:rsidR="00FA35E0">
        <w:rPr>
          <w:noProof/>
        </w:rPr>
        <w:drawing>
          <wp:inline distT="0" distB="0" distL="0" distR="0" wp14:anchorId="22F5542B" wp14:editId="38AAB1CA">
            <wp:extent cx="4914320" cy="475996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015B9.tmp"/>
                    <pic:cNvPicPr/>
                  </pic:nvPicPr>
                  <pic:blipFill>
                    <a:blip r:embed="rId9">
                      <a:extLst>
                        <a:ext uri="{28A0092B-C50C-407E-A947-70E740481C1C}">
                          <a14:useLocalDpi xmlns:a14="http://schemas.microsoft.com/office/drawing/2010/main" val="0"/>
                        </a:ext>
                      </a:extLst>
                    </a:blip>
                    <a:stretch>
                      <a:fillRect/>
                    </a:stretch>
                  </pic:blipFill>
                  <pic:spPr>
                    <a:xfrm>
                      <a:off x="0" y="0"/>
                      <a:ext cx="4914320" cy="4759960"/>
                    </a:xfrm>
                    <a:prstGeom prst="rect">
                      <a:avLst/>
                    </a:prstGeom>
                  </pic:spPr>
                </pic:pic>
              </a:graphicData>
            </a:graphic>
          </wp:inline>
        </w:drawing>
      </w:r>
    </w:p>
    <w:p w:rsidR="00134F8A" w:rsidRDefault="00F243A6" w:rsidP="00F243A6">
      <w:pPr>
        <w:pStyle w:val="Caption"/>
      </w:pPr>
      <w:r>
        <w:t xml:space="preserve">Figure </w:t>
      </w:r>
      <w:r w:rsidR="00BF47F2">
        <w:fldChar w:fldCharType="begin"/>
      </w:r>
      <w:r w:rsidR="00BF47F2">
        <w:instrText xml:space="preserve"> SEQ Figure \* ARABIC </w:instrText>
      </w:r>
      <w:r w:rsidR="00BF47F2">
        <w:fldChar w:fldCharType="separate"/>
      </w:r>
      <w:r w:rsidR="00752FF2">
        <w:rPr>
          <w:noProof/>
        </w:rPr>
        <w:t>2</w:t>
      </w:r>
      <w:r w:rsidR="00BF47F2">
        <w:rPr>
          <w:noProof/>
        </w:rPr>
        <w:fldChar w:fldCharType="end"/>
      </w:r>
      <w:r>
        <w:t xml:space="preserve">: NIRTTS assembly with foam. </w:t>
      </w:r>
    </w:p>
    <w:p w:rsidR="002D68D0" w:rsidRDefault="00F243A6" w:rsidP="00F243A6">
      <w:pPr>
        <w:pStyle w:val="Caption"/>
      </w:pPr>
      <w:r>
        <w:t xml:space="preserve"> </w:t>
      </w:r>
    </w:p>
    <w:p w:rsidR="00180861" w:rsidRDefault="003E1130" w:rsidP="00EC51A2">
      <w:pPr>
        <w:rPr>
          <w:b/>
        </w:rPr>
      </w:pPr>
      <w:r w:rsidRPr="003E1130">
        <w:rPr>
          <w:b/>
          <w:sz w:val="28"/>
          <w:szCs w:val="28"/>
        </w:rPr>
        <w:t>Vacuum Sealing Specifications:</w:t>
      </w:r>
    </w:p>
    <w:p w:rsidR="003E1130" w:rsidRPr="00630AB3" w:rsidRDefault="003E1130" w:rsidP="00C20B32">
      <w:pPr>
        <w:ind w:firstLine="720"/>
      </w:pPr>
      <w:r w:rsidRPr="00630AB3">
        <w:t xml:space="preserve">The purpose for vacuum sealing specifications is to help protect NIRTTS and </w:t>
      </w:r>
      <w:r w:rsidR="00C20B32" w:rsidRPr="00630AB3">
        <w:t>its</w:t>
      </w:r>
      <w:r w:rsidRPr="00630AB3">
        <w:t xml:space="preserve"> external peripheral equipment from moisture and dust during transportation</w:t>
      </w:r>
      <w:r w:rsidR="00C20B32" w:rsidRPr="00630AB3">
        <w:t xml:space="preserve"> to Keck Observatory via ground and/or air</w:t>
      </w:r>
      <w:r w:rsidRPr="00630AB3">
        <w:t>.  The vacuum sealing specification will cover vacuum bagging and moisture control.</w:t>
      </w:r>
    </w:p>
    <w:p w:rsidR="00630AB3" w:rsidRPr="00630AB3" w:rsidRDefault="00630AB3" w:rsidP="00EC51A2">
      <w:pPr>
        <w:rPr>
          <w:b/>
        </w:rPr>
      </w:pPr>
      <w:r>
        <w:rPr>
          <w:b/>
        </w:rPr>
        <w:t>Vacuum Bags:</w:t>
      </w:r>
      <w:r w:rsidR="00C20B32" w:rsidRPr="00630AB3">
        <w:rPr>
          <w:b/>
        </w:rPr>
        <w:tab/>
      </w:r>
    </w:p>
    <w:p w:rsidR="00C20B32" w:rsidRDefault="00630AB3" w:rsidP="00630AB3">
      <w:pPr>
        <w:ind w:firstLine="720"/>
      </w:pPr>
      <w:r>
        <w:t>T</w:t>
      </w:r>
      <w:r w:rsidR="00C20B32" w:rsidRPr="00630AB3">
        <w:t>o</w:t>
      </w:r>
      <w:r>
        <w:t xml:space="preserve"> increase</w:t>
      </w:r>
      <w:r w:rsidR="00C20B32" w:rsidRPr="00630AB3">
        <w:t xml:space="preserve"> </w:t>
      </w:r>
      <w:r>
        <w:t xml:space="preserve">the </w:t>
      </w:r>
      <w:r w:rsidR="00C20B32" w:rsidRPr="00630AB3">
        <w:t>protect</w:t>
      </w:r>
      <w:r w:rsidR="000E4F9A">
        <w:t>ion on</w:t>
      </w:r>
      <w:r w:rsidR="00C20B32" w:rsidRPr="00630AB3">
        <w:t xml:space="preserve"> NIRTTS from the environment while transporting it to </w:t>
      </w:r>
      <w:r w:rsidRPr="00630AB3">
        <w:t>the</w:t>
      </w:r>
      <w:r w:rsidR="00C64341">
        <w:t xml:space="preserve"> summit</w:t>
      </w:r>
      <w:r w:rsidRPr="00630AB3">
        <w:t xml:space="preserve"> </w:t>
      </w:r>
      <w:r w:rsidR="00C20B32" w:rsidRPr="00630AB3">
        <w:t xml:space="preserve">Keck Observatory via ground and/or air, the </w:t>
      </w:r>
      <w:r w:rsidRPr="00630AB3">
        <w:t xml:space="preserve">instrument </w:t>
      </w:r>
      <w:r>
        <w:t xml:space="preserve">and its peripherals </w:t>
      </w:r>
      <w:r w:rsidRPr="00630AB3">
        <w:t>will</w:t>
      </w:r>
      <w:r>
        <w:t xml:space="preserve"> each </w:t>
      </w:r>
      <w:r w:rsidRPr="00630AB3">
        <w:t>be placed in a</w:t>
      </w:r>
      <w:r>
        <w:t>n appropriate sized</w:t>
      </w:r>
      <w:r w:rsidRPr="00630AB3">
        <w:t xml:space="preserve"> </w:t>
      </w:r>
      <w:r>
        <w:t>Space B</w:t>
      </w:r>
      <w:r w:rsidRPr="00630AB3">
        <w:t xml:space="preserve">ag and vacuum sealed.  </w:t>
      </w:r>
      <w:r w:rsidR="000E4F9A">
        <w:t>This will provide the needed barrier against moisture and dust on the optics and external components.</w:t>
      </w:r>
      <w:r w:rsidR="007A4EED">
        <w:t xml:space="preserve">  The price of th</w:t>
      </w:r>
      <w:r w:rsidR="00134F8A">
        <w:t xml:space="preserve">e </w:t>
      </w:r>
      <w:r w:rsidR="00134F8A">
        <w:lastRenderedPageBreak/>
        <w:t>Space Bags will be under $15.99 per bag</w:t>
      </w:r>
      <w:r w:rsidR="007A4EED">
        <w:t>.</w:t>
      </w:r>
      <w:r w:rsidR="00134F8A">
        <w:t xml:space="preserve">  The following components will be bagged with a Space Bag:</w:t>
      </w:r>
    </w:p>
    <w:p w:rsidR="00134F8A" w:rsidRDefault="00134F8A" w:rsidP="00134F8A">
      <w:pPr>
        <w:pStyle w:val="ListParagraph"/>
        <w:numPr>
          <w:ilvl w:val="0"/>
          <w:numId w:val="2"/>
        </w:numPr>
      </w:pPr>
      <w:r>
        <w:t>Dewar assembly</w:t>
      </w:r>
    </w:p>
    <w:p w:rsidR="00134F8A" w:rsidRDefault="007860A7" w:rsidP="00134F8A">
      <w:pPr>
        <w:pStyle w:val="ListParagraph"/>
        <w:numPr>
          <w:ilvl w:val="0"/>
          <w:numId w:val="2"/>
        </w:numPr>
      </w:pPr>
      <w:r>
        <w:t>Pedestal and focus mechanism</w:t>
      </w:r>
    </w:p>
    <w:p w:rsidR="00134F8A" w:rsidRDefault="00134F8A" w:rsidP="00134F8A">
      <w:pPr>
        <w:pStyle w:val="ListParagraph"/>
        <w:numPr>
          <w:ilvl w:val="0"/>
          <w:numId w:val="2"/>
        </w:numPr>
      </w:pPr>
      <w:r>
        <w:t>Electronics</w:t>
      </w:r>
    </w:p>
    <w:p w:rsidR="007860A7" w:rsidRDefault="007860A7" w:rsidP="00134F8A">
      <w:pPr>
        <w:pStyle w:val="ListParagraph"/>
        <w:numPr>
          <w:ilvl w:val="0"/>
          <w:numId w:val="2"/>
        </w:numPr>
      </w:pPr>
      <w:r>
        <w:t>(2) 25’ high pressure cryogen lines</w:t>
      </w:r>
    </w:p>
    <w:p w:rsidR="007A4EED" w:rsidRDefault="007A4EED" w:rsidP="000E4F9A">
      <w:pPr>
        <w:rPr>
          <w:b/>
        </w:rPr>
      </w:pPr>
    </w:p>
    <w:p w:rsidR="000E4F9A" w:rsidRDefault="000E4F9A" w:rsidP="000E4F9A">
      <w:pPr>
        <w:rPr>
          <w:b/>
        </w:rPr>
      </w:pPr>
      <w:r w:rsidRPr="000E4F9A">
        <w:rPr>
          <w:b/>
        </w:rPr>
        <w:t>Desiccant Bags:</w:t>
      </w:r>
    </w:p>
    <w:p w:rsidR="000E4F9A" w:rsidRDefault="000E4F9A" w:rsidP="000E4F9A">
      <w:r>
        <w:rPr>
          <w:b/>
        </w:rPr>
        <w:tab/>
      </w:r>
      <w:r>
        <w:t>Desiccant bags will be placed inside each evacuated bag, and inside the crate t</w:t>
      </w:r>
      <w:r w:rsidR="007A4EED">
        <w:t>o help keep the environment dry.  The desiccant bags already exist at Caltech.</w:t>
      </w:r>
    </w:p>
    <w:p w:rsidR="00641691" w:rsidRDefault="00C64341" w:rsidP="000E4F9A">
      <w:r>
        <w:rPr>
          <w:b/>
        </w:rPr>
        <w:t>Crate Membrane:</w:t>
      </w:r>
    </w:p>
    <w:p w:rsidR="00C64341" w:rsidRDefault="00C64341" w:rsidP="000E4F9A">
      <w:r>
        <w:tab/>
        <w:t>The purpose of the membrane is to add an extra layer of protection inside the crate to protect the instrument from moisture and dust while transporting it to the Keck Observatory via ground and/</w:t>
      </w:r>
      <w:r w:rsidR="00E7353B">
        <w:t xml:space="preserve">or air.  A sheet of </w:t>
      </w:r>
      <w:r>
        <w:t xml:space="preserve">polyethylene plastic between 0.1 to 0.25 mm will be used as a liner around the </w:t>
      </w:r>
      <w:r w:rsidR="00A62A25">
        <w:t>inside perimeter</w:t>
      </w:r>
      <w:r>
        <w:t xml:space="preserve"> of the crate</w:t>
      </w:r>
      <w:r w:rsidR="00A62A25">
        <w:t xml:space="preserve"> to act as another vapor and dust barrier</w:t>
      </w:r>
      <w:r>
        <w:t>.</w:t>
      </w:r>
    </w:p>
    <w:p w:rsidR="007871CA" w:rsidRDefault="007871CA" w:rsidP="000E4F9A"/>
    <w:p w:rsidR="00A62A25" w:rsidRDefault="00A62A25" w:rsidP="000E4F9A">
      <w:pPr>
        <w:rPr>
          <w:b/>
          <w:sz w:val="28"/>
          <w:szCs w:val="28"/>
        </w:rPr>
      </w:pPr>
      <w:r>
        <w:rPr>
          <w:b/>
          <w:sz w:val="28"/>
          <w:szCs w:val="28"/>
        </w:rPr>
        <w:t>Thermal Couple</w:t>
      </w:r>
      <w:r w:rsidRPr="00A62A25">
        <w:rPr>
          <w:b/>
          <w:sz w:val="28"/>
          <w:szCs w:val="28"/>
        </w:rPr>
        <w:t>:</w:t>
      </w:r>
    </w:p>
    <w:p w:rsidR="005C195A" w:rsidRDefault="00A62A25" w:rsidP="005C195A">
      <w:r>
        <w:rPr>
          <w:b/>
          <w:sz w:val="28"/>
          <w:szCs w:val="28"/>
        </w:rPr>
        <w:tab/>
      </w:r>
      <w:r>
        <w:t>The purpose of the thermal couple is to measure</w:t>
      </w:r>
      <w:r w:rsidR="005C195A">
        <w:t xml:space="preserve"> and compare</w:t>
      </w:r>
      <w:r>
        <w:t xml:space="preserve"> the </w:t>
      </w:r>
      <w:r w:rsidR="005C195A">
        <w:t>difference between the</w:t>
      </w:r>
      <w:r>
        <w:t xml:space="preserve"> </w:t>
      </w:r>
      <w:r w:rsidR="005C195A">
        <w:t xml:space="preserve">temperature </w:t>
      </w:r>
      <w:r>
        <w:t>inside</w:t>
      </w:r>
      <w:r w:rsidR="005C195A">
        <w:t xml:space="preserve"> the crate and the temperature inside the dome</w:t>
      </w:r>
      <w:r w:rsidR="001568A4">
        <w:t xml:space="preserve"> protecting the optics from thermal shock</w:t>
      </w:r>
      <w:r w:rsidR="005C195A">
        <w:t>.  Temperatures inside the dome normally range between -2°C to +5° C.  The probe of a Type J thermal couple</w:t>
      </w:r>
      <w:r w:rsidR="00207BFF">
        <w:t xml:space="preserve"> will be attached to the surface of front dewar cover adjacent to the window.  </w:t>
      </w:r>
      <w:r w:rsidR="005C195A">
        <w:t xml:space="preserve"> </w:t>
      </w:r>
    </w:p>
    <w:p w:rsidR="009265D9" w:rsidRDefault="009265D9" w:rsidP="000E4F9A"/>
    <w:p w:rsidR="00856D98" w:rsidRDefault="00856D98" w:rsidP="000E4F9A">
      <w:pPr>
        <w:rPr>
          <w:b/>
          <w:sz w:val="28"/>
          <w:szCs w:val="28"/>
        </w:rPr>
      </w:pPr>
      <w:r>
        <w:rPr>
          <w:b/>
          <w:sz w:val="28"/>
          <w:szCs w:val="28"/>
        </w:rPr>
        <w:t>Packaging</w:t>
      </w:r>
      <w:r w:rsidR="0030273E">
        <w:rPr>
          <w:b/>
          <w:sz w:val="28"/>
          <w:szCs w:val="28"/>
        </w:rPr>
        <w:t>:</w:t>
      </w:r>
      <w:r w:rsidR="00124B70">
        <w:rPr>
          <w:b/>
          <w:sz w:val="28"/>
          <w:szCs w:val="28"/>
        </w:rPr>
        <w:t xml:space="preserve">  </w:t>
      </w:r>
    </w:p>
    <w:p w:rsidR="0030273E" w:rsidRPr="00124B70" w:rsidRDefault="00124B70" w:rsidP="00856D98">
      <w:pPr>
        <w:ind w:firstLine="720"/>
      </w:pPr>
      <w:r>
        <w:t>Quality pa</w:t>
      </w:r>
      <w:r w:rsidR="00CD52B0">
        <w:t>llets of either wood or plastic</w:t>
      </w:r>
      <w:r>
        <w:t xml:space="preserve"> wi</w:t>
      </w:r>
      <w:r w:rsidR="00CD52B0">
        <w:t>ll be used for ease of freight movement.  The crate will not be overhanging the pallet edges</w:t>
      </w:r>
      <w:r>
        <w:t xml:space="preserve"> </w:t>
      </w:r>
      <w:r w:rsidR="00CD52B0">
        <w:t>and will be strapped with metal bands to avoid any damage to the instrument.  Each crate will also have the appropriate fixed labels for identification</w:t>
      </w:r>
      <w:r w:rsidR="00856D98">
        <w:t xml:space="preserve"> and handling</w:t>
      </w:r>
      <w:r w:rsidR="00CD52B0">
        <w:t xml:space="preserve"> purposes and </w:t>
      </w:r>
      <w:r w:rsidR="00856D98">
        <w:t xml:space="preserve">shock indicating labels to know if the crate has incurred a shock greater than 2g.  </w:t>
      </w:r>
      <w:r>
        <w:t xml:space="preserve"> </w:t>
      </w:r>
    </w:p>
    <w:p w:rsidR="00281151" w:rsidRPr="00281151" w:rsidRDefault="00281151" w:rsidP="001236CE">
      <w:r w:rsidRPr="001236CE">
        <w:rPr>
          <w:b/>
        </w:rPr>
        <w:lastRenderedPageBreak/>
        <w:t>Crate #1:</w:t>
      </w:r>
      <w:r w:rsidR="008F0423">
        <w:t xml:space="preserve">  Various w</w:t>
      </w:r>
      <w:r w:rsidR="001878BD">
        <w:t>ooden crate</w:t>
      </w:r>
      <w:r w:rsidR="008F0423">
        <w:t>s already exist</w:t>
      </w:r>
      <w:r w:rsidR="001878BD">
        <w:t xml:space="preserve"> at Caltech, and </w:t>
      </w:r>
      <w:r w:rsidR="008F0423">
        <w:t xml:space="preserve">dimensions of crates will be determined as needed.  </w:t>
      </w:r>
      <w:r w:rsidR="00124B70">
        <w:t xml:space="preserve">The crate will be attached to appropriate sized pallet to facilitate the shipment.  </w:t>
      </w:r>
      <w:r w:rsidR="008F0423">
        <w:t>These will need</w:t>
      </w:r>
      <w:r w:rsidR="001878BD">
        <w:t xml:space="preserve"> to be returned </w:t>
      </w:r>
      <w:r w:rsidR="0068137A">
        <w:t xml:space="preserve">to Caltech </w:t>
      </w:r>
      <w:r w:rsidR="001878BD">
        <w:t xml:space="preserve">after use.  </w:t>
      </w:r>
      <w:r w:rsidR="0068137A">
        <w:t>Packaging needs to be purchased.</w:t>
      </w:r>
    </w:p>
    <w:p w:rsidR="00281151" w:rsidRPr="004D1EC6" w:rsidRDefault="00281151" w:rsidP="004D1EC6">
      <w:pPr>
        <w:pStyle w:val="ListParagraph"/>
        <w:numPr>
          <w:ilvl w:val="0"/>
          <w:numId w:val="3"/>
        </w:numPr>
        <w:rPr>
          <w:b/>
        </w:rPr>
      </w:pPr>
      <w:r w:rsidRPr="004D1EC6">
        <w:rPr>
          <w:b/>
        </w:rPr>
        <w:t>Dewar Assembly</w:t>
      </w:r>
    </w:p>
    <w:p w:rsidR="0028243C" w:rsidRDefault="0028243C" w:rsidP="00281151">
      <w:pPr>
        <w:pStyle w:val="ListParagraph"/>
        <w:numPr>
          <w:ilvl w:val="1"/>
          <w:numId w:val="1"/>
        </w:numPr>
      </w:pPr>
      <w:r w:rsidRPr="0028243C">
        <w:t>Purchased Tools</w:t>
      </w:r>
    </w:p>
    <w:p w:rsidR="0068137A" w:rsidRDefault="004D1EC6" w:rsidP="0068137A">
      <w:pPr>
        <w:pStyle w:val="ListParagraph"/>
        <w:numPr>
          <w:ilvl w:val="2"/>
          <w:numId w:val="1"/>
        </w:numPr>
      </w:pPr>
      <w:r>
        <w:t xml:space="preserve">(3) </w:t>
      </w:r>
      <w:proofErr w:type="spellStart"/>
      <w:r>
        <w:t>Cryo</w:t>
      </w:r>
      <w:proofErr w:type="spellEnd"/>
      <w:r>
        <w:t>-cooler open end wrench set</w:t>
      </w:r>
      <w:r w:rsidR="00424BB3">
        <w:t xml:space="preserve"> </w:t>
      </w:r>
      <w:r>
        <w:t>(1 1/8”, 1 3/16”, 1 ½”)</w:t>
      </w:r>
    </w:p>
    <w:p w:rsidR="0068137A" w:rsidRDefault="00424BB3" w:rsidP="0068137A">
      <w:pPr>
        <w:pStyle w:val="ListParagraph"/>
        <w:numPr>
          <w:ilvl w:val="2"/>
          <w:numId w:val="1"/>
        </w:numPr>
      </w:pPr>
      <w:bookmarkStart w:id="0" w:name="_GoBack"/>
      <w:bookmarkEnd w:id="0"/>
      <w:r>
        <w:t xml:space="preserve">(3) </w:t>
      </w:r>
      <w:r w:rsidR="0068137A">
        <w:t>Crowfoo</w:t>
      </w:r>
      <w:r w:rsidR="004D1EC6">
        <w:t>t open end wrenches (1 1/8”, 1 3/16”, 1 ½”)</w:t>
      </w:r>
    </w:p>
    <w:p w:rsidR="0068137A" w:rsidRDefault="0068137A" w:rsidP="0068137A">
      <w:pPr>
        <w:pStyle w:val="ListParagraph"/>
        <w:numPr>
          <w:ilvl w:val="2"/>
          <w:numId w:val="1"/>
        </w:numPr>
      </w:pPr>
      <w:r>
        <w:t xml:space="preserve">Extended T-handle </w:t>
      </w:r>
      <w:proofErr w:type="spellStart"/>
      <w:r>
        <w:t>allen</w:t>
      </w:r>
      <w:proofErr w:type="spellEnd"/>
      <w:r>
        <w:t xml:space="preserve"> </w:t>
      </w:r>
      <w:proofErr w:type="spellStart"/>
      <w:r>
        <w:t>wrenchs</w:t>
      </w:r>
      <w:proofErr w:type="spellEnd"/>
    </w:p>
    <w:p w:rsidR="0068137A" w:rsidRDefault="004D1EC6" w:rsidP="0068137A">
      <w:pPr>
        <w:pStyle w:val="ListParagraph"/>
        <w:numPr>
          <w:ilvl w:val="3"/>
          <w:numId w:val="1"/>
        </w:numPr>
      </w:pPr>
      <w:r>
        <w:t xml:space="preserve">3/32” </w:t>
      </w:r>
      <w:r w:rsidR="0068137A">
        <w:t xml:space="preserve">5/64”, 7/64”, 9/64”, 5/32”, 3mm </w:t>
      </w:r>
    </w:p>
    <w:p w:rsidR="0028243C" w:rsidRDefault="0028243C" w:rsidP="00281151">
      <w:pPr>
        <w:pStyle w:val="ListParagraph"/>
        <w:numPr>
          <w:ilvl w:val="1"/>
          <w:numId w:val="1"/>
        </w:numPr>
      </w:pPr>
      <w:r w:rsidRPr="0028243C">
        <w:t>Documentation</w:t>
      </w:r>
    </w:p>
    <w:p w:rsidR="0028243C" w:rsidRDefault="001878BD" w:rsidP="00281151">
      <w:pPr>
        <w:pStyle w:val="ListParagraph"/>
        <w:numPr>
          <w:ilvl w:val="1"/>
          <w:numId w:val="1"/>
        </w:numPr>
      </w:pPr>
      <w:r>
        <w:t>Minimum c</w:t>
      </w:r>
      <w:r w:rsidR="0028243C">
        <w:t xml:space="preserve">rate size:  </w:t>
      </w:r>
      <w:r>
        <w:t xml:space="preserve">27” x 27” x 33” </w:t>
      </w:r>
    </w:p>
    <w:p w:rsidR="00281151" w:rsidRDefault="00281151" w:rsidP="000E4F9A">
      <w:pPr>
        <w:rPr>
          <w:b/>
        </w:rPr>
      </w:pPr>
    </w:p>
    <w:p w:rsidR="00281151" w:rsidRPr="0028243C" w:rsidRDefault="00281151" w:rsidP="000E4F9A">
      <w:r>
        <w:rPr>
          <w:b/>
        </w:rPr>
        <w:t>Crate #2:</w:t>
      </w:r>
      <w:r w:rsidR="0028243C">
        <w:rPr>
          <w:b/>
        </w:rPr>
        <w:t xml:space="preserve">  </w:t>
      </w:r>
      <w:r w:rsidR="0028243C">
        <w:t>The focus stage assembly will be shipped via air (FedEx) ahead of time for testing.</w:t>
      </w:r>
      <w:r w:rsidR="00856D98">
        <w:t xml:space="preserve">  The c</w:t>
      </w:r>
      <w:r w:rsidR="001878BD">
        <w:t xml:space="preserve">ase already exists at Caltech, and will need </w:t>
      </w:r>
      <w:r w:rsidR="0068137A">
        <w:t xml:space="preserve">to purchase </w:t>
      </w:r>
      <w:r w:rsidR="00856D98">
        <w:t>the packaging.  The c</w:t>
      </w:r>
      <w:r w:rsidR="001878BD">
        <w:t xml:space="preserve">ase </w:t>
      </w:r>
      <w:r w:rsidR="0068137A">
        <w:t xml:space="preserve">is </w:t>
      </w:r>
      <w:r w:rsidR="001878BD">
        <w:t>to be returned to Caltech.</w:t>
      </w:r>
    </w:p>
    <w:p w:rsidR="00281151" w:rsidRPr="00281151" w:rsidRDefault="00281151" w:rsidP="00281151">
      <w:pPr>
        <w:pStyle w:val="ListParagraph"/>
        <w:numPr>
          <w:ilvl w:val="0"/>
          <w:numId w:val="1"/>
        </w:numPr>
        <w:rPr>
          <w:b/>
        </w:rPr>
      </w:pPr>
      <w:r>
        <w:rPr>
          <w:b/>
        </w:rPr>
        <w:t>Focus Stage</w:t>
      </w:r>
      <w:r w:rsidR="0028243C">
        <w:rPr>
          <w:b/>
        </w:rPr>
        <w:t xml:space="preserve"> Assembly</w:t>
      </w:r>
    </w:p>
    <w:p w:rsidR="00281151" w:rsidRPr="0028243C" w:rsidRDefault="00281151" w:rsidP="00281151">
      <w:pPr>
        <w:pStyle w:val="ListParagraph"/>
        <w:numPr>
          <w:ilvl w:val="1"/>
          <w:numId w:val="1"/>
        </w:numPr>
      </w:pPr>
      <w:r w:rsidRPr="0028243C">
        <w:t>Pedestal</w:t>
      </w:r>
    </w:p>
    <w:p w:rsidR="00281151" w:rsidRPr="0028243C" w:rsidRDefault="00281151" w:rsidP="00281151">
      <w:pPr>
        <w:pStyle w:val="ListParagraph"/>
        <w:numPr>
          <w:ilvl w:val="1"/>
          <w:numId w:val="1"/>
        </w:numPr>
      </w:pPr>
      <w:r w:rsidRPr="0028243C">
        <w:t>Focus Mechanism</w:t>
      </w:r>
    </w:p>
    <w:p w:rsidR="00281151" w:rsidRDefault="00281151" w:rsidP="00281151">
      <w:pPr>
        <w:pStyle w:val="ListParagraph"/>
        <w:numPr>
          <w:ilvl w:val="1"/>
          <w:numId w:val="1"/>
        </w:numPr>
      </w:pPr>
      <w:r w:rsidRPr="0028243C">
        <w:t xml:space="preserve">(2) </w:t>
      </w:r>
      <w:r w:rsidR="00E578C7">
        <w:t xml:space="preserve">Keck </w:t>
      </w:r>
      <w:r w:rsidRPr="0028243C">
        <w:t>Adapter Plates</w:t>
      </w:r>
    </w:p>
    <w:p w:rsidR="0028243C" w:rsidRDefault="0028243C" w:rsidP="00281151">
      <w:pPr>
        <w:pStyle w:val="ListParagraph"/>
        <w:numPr>
          <w:ilvl w:val="1"/>
          <w:numId w:val="1"/>
        </w:numPr>
      </w:pPr>
      <w:r>
        <w:t>Electronics</w:t>
      </w:r>
    </w:p>
    <w:p w:rsidR="001878BD" w:rsidRPr="0028243C" w:rsidRDefault="001878BD" w:rsidP="00281151">
      <w:pPr>
        <w:pStyle w:val="ListParagraph"/>
        <w:numPr>
          <w:ilvl w:val="1"/>
          <w:numId w:val="1"/>
        </w:numPr>
      </w:pPr>
      <w:r>
        <w:t>Crate size: 28” x 37” x 18”</w:t>
      </w:r>
    </w:p>
    <w:p w:rsidR="00281151" w:rsidRDefault="00281151" w:rsidP="000E4F9A">
      <w:pPr>
        <w:rPr>
          <w:b/>
        </w:rPr>
      </w:pPr>
      <w:r>
        <w:rPr>
          <w:b/>
        </w:rPr>
        <w:tab/>
      </w:r>
      <w:r>
        <w:rPr>
          <w:b/>
        </w:rPr>
        <w:tab/>
      </w:r>
    </w:p>
    <w:p w:rsidR="00281151" w:rsidRPr="0028243C" w:rsidRDefault="00281151" w:rsidP="000E4F9A">
      <w:r>
        <w:rPr>
          <w:b/>
        </w:rPr>
        <w:t>Crate #3:</w:t>
      </w:r>
      <w:r w:rsidR="0028243C">
        <w:t xml:space="preserve">  The compressor and cryo</w:t>
      </w:r>
      <w:r w:rsidR="00856D98">
        <w:t>gen</w:t>
      </w:r>
      <w:r w:rsidR="0028243C">
        <w:t xml:space="preserve"> lines are under pressure with a gas, the crate may need to be shipped via ground.</w:t>
      </w:r>
      <w:r w:rsidR="001878BD">
        <w:t xml:space="preserve">  Crate and packaging already exists at Caltech.</w:t>
      </w:r>
    </w:p>
    <w:p w:rsidR="00281151" w:rsidRDefault="00281151" w:rsidP="00281151">
      <w:pPr>
        <w:pStyle w:val="ListParagraph"/>
        <w:numPr>
          <w:ilvl w:val="0"/>
          <w:numId w:val="1"/>
        </w:numPr>
        <w:rPr>
          <w:b/>
        </w:rPr>
      </w:pPr>
      <w:proofErr w:type="spellStart"/>
      <w:r>
        <w:rPr>
          <w:b/>
        </w:rPr>
        <w:t>Cryo</w:t>
      </w:r>
      <w:proofErr w:type="spellEnd"/>
      <w:r>
        <w:rPr>
          <w:b/>
        </w:rPr>
        <w:t>-Cooler Assembly</w:t>
      </w:r>
    </w:p>
    <w:p w:rsidR="00281151" w:rsidRPr="0028243C" w:rsidRDefault="0028243C" w:rsidP="00281151">
      <w:pPr>
        <w:pStyle w:val="ListParagraph"/>
        <w:numPr>
          <w:ilvl w:val="1"/>
          <w:numId w:val="1"/>
        </w:numPr>
        <w:rPr>
          <w:b/>
        </w:rPr>
      </w:pPr>
      <w:r>
        <w:t xml:space="preserve">ARS Mixed Refrigerant </w:t>
      </w:r>
      <w:proofErr w:type="spellStart"/>
      <w:r>
        <w:t>Cryo</w:t>
      </w:r>
      <w:proofErr w:type="spellEnd"/>
      <w:r>
        <w:t>-Cooling System (Compressor)</w:t>
      </w:r>
    </w:p>
    <w:p w:rsidR="0028243C" w:rsidRPr="001878BD" w:rsidRDefault="0028243C" w:rsidP="00281151">
      <w:pPr>
        <w:pStyle w:val="ListParagraph"/>
        <w:numPr>
          <w:ilvl w:val="1"/>
          <w:numId w:val="1"/>
        </w:numPr>
        <w:rPr>
          <w:b/>
        </w:rPr>
      </w:pPr>
      <w:r>
        <w:t xml:space="preserve">(2) 25’ High Pressure </w:t>
      </w:r>
      <w:proofErr w:type="spellStart"/>
      <w:r>
        <w:t>Cryo</w:t>
      </w:r>
      <w:proofErr w:type="spellEnd"/>
      <w:r>
        <w:t>-Cooling Lines</w:t>
      </w:r>
    </w:p>
    <w:p w:rsidR="001878BD" w:rsidRPr="00281151" w:rsidRDefault="001878BD" w:rsidP="00281151">
      <w:pPr>
        <w:pStyle w:val="ListParagraph"/>
        <w:numPr>
          <w:ilvl w:val="1"/>
          <w:numId w:val="1"/>
        </w:numPr>
        <w:rPr>
          <w:b/>
        </w:rPr>
      </w:pPr>
      <w:r>
        <w:t>Crate size: 24” x 26” x 25” plus wooden pallet</w:t>
      </w:r>
    </w:p>
    <w:p w:rsidR="00281151" w:rsidRDefault="00281151" w:rsidP="000E4F9A">
      <w:pPr>
        <w:rPr>
          <w:b/>
        </w:rPr>
      </w:pPr>
    </w:p>
    <w:p w:rsidR="00281151" w:rsidRPr="00281151" w:rsidRDefault="00281151" w:rsidP="000E4F9A">
      <w:pPr>
        <w:rPr>
          <w:b/>
        </w:rPr>
      </w:pPr>
      <w:r>
        <w:rPr>
          <w:b/>
        </w:rPr>
        <w:tab/>
      </w:r>
    </w:p>
    <w:p w:rsidR="0030273E" w:rsidRDefault="0030273E" w:rsidP="000E4F9A">
      <w:pPr>
        <w:rPr>
          <w:b/>
          <w:sz w:val="28"/>
          <w:szCs w:val="28"/>
        </w:rPr>
      </w:pPr>
    </w:p>
    <w:p w:rsidR="0030273E" w:rsidRDefault="0030273E" w:rsidP="000E4F9A">
      <w:pPr>
        <w:rPr>
          <w:b/>
          <w:sz w:val="28"/>
          <w:szCs w:val="28"/>
        </w:rPr>
      </w:pPr>
    </w:p>
    <w:p w:rsidR="0030273E" w:rsidRPr="0030273E" w:rsidRDefault="0030273E" w:rsidP="000E4F9A">
      <w:pPr>
        <w:rPr>
          <w:b/>
          <w:sz w:val="28"/>
          <w:szCs w:val="28"/>
        </w:rPr>
      </w:pPr>
    </w:p>
    <w:p w:rsidR="0030273E" w:rsidRPr="000E4F9A" w:rsidRDefault="0030273E" w:rsidP="000E4F9A"/>
    <w:p w:rsidR="00630AB3" w:rsidRPr="00630AB3" w:rsidRDefault="00630AB3" w:rsidP="00630AB3"/>
    <w:p w:rsidR="003E1130" w:rsidRPr="003E1130" w:rsidRDefault="003E1130" w:rsidP="00EC51A2">
      <w:pPr>
        <w:rPr>
          <w:b/>
        </w:rPr>
      </w:pPr>
      <w:r>
        <w:rPr>
          <w:b/>
        </w:rPr>
        <w:t xml:space="preserve">    </w:t>
      </w:r>
    </w:p>
    <w:p w:rsidR="00180861" w:rsidRPr="00180861" w:rsidRDefault="00180861" w:rsidP="00EC51A2">
      <w:pPr>
        <w:rPr>
          <w:b/>
        </w:rPr>
      </w:pPr>
    </w:p>
    <w:p w:rsidR="006832C3" w:rsidRDefault="006832C3" w:rsidP="00EC51A2"/>
    <w:p w:rsidR="00B613DD" w:rsidRDefault="00B613DD" w:rsidP="00EC51A2"/>
    <w:p w:rsidR="00B613DD" w:rsidRDefault="00B613DD" w:rsidP="00EC51A2">
      <w:r>
        <w:tab/>
      </w:r>
    </w:p>
    <w:p w:rsidR="008F2DE2" w:rsidRDefault="008F2DE2" w:rsidP="00EC51A2"/>
    <w:sectPr w:rsidR="008F2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303B0"/>
    <w:multiLevelType w:val="hybridMultilevel"/>
    <w:tmpl w:val="264A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1074B3"/>
    <w:multiLevelType w:val="hybridMultilevel"/>
    <w:tmpl w:val="8A44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4F2C62"/>
    <w:multiLevelType w:val="hybridMultilevel"/>
    <w:tmpl w:val="BC1E8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A2"/>
    <w:rsid w:val="000E4F9A"/>
    <w:rsid w:val="000F0170"/>
    <w:rsid w:val="001236CE"/>
    <w:rsid w:val="00124B70"/>
    <w:rsid w:val="00134F8A"/>
    <w:rsid w:val="001564BE"/>
    <w:rsid w:val="001568A4"/>
    <w:rsid w:val="00180861"/>
    <w:rsid w:val="001827F8"/>
    <w:rsid w:val="001878BD"/>
    <w:rsid w:val="001B33B5"/>
    <w:rsid w:val="001D5D00"/>
    <w:rsid w:val="00207BFF"/>
    <w:rsid w:val="00281151"/>
    <w:rsid w:val="0028243C"/>
    <w:rsid w:val="002B4382"/>
    <w:rsid w:val="002D68D0"/>
    <w:rsid w:val="0030273E"/>
    <w:rsid w:val="00361741"/>
    <w:rsid w:val="003E1130"/>
    <w:rsid w:val="00400CB0"/>
    <w:rsid w:val="00424BB3"/>
    <w:rsid w:val="0043163D"/>
    <w:rsid w:val="004C4E44"/>
    <w:rsid w:val="004D1EC6"/>
    <w:rsid w:val="004F087B"/>
    <w:rsid w:val="005010AD"/>
    <w:rsid w:val="00506914"/>
    <w:rsid w:val="005413A9"/>
    <w:rsid w:val="00587207"/>
    <w:rsid w:val="005A7500"/>
    <w:rsid w:val="005C195A"/>
    <w:rsid w:val="005F32FA"/>
    <w:rsid w:val="005F5E39"/>
    <w:rsid w:val="00630AB3"/>
    <w:rsid w:val="0063330F"/>
    <w:rsid w:val="00641691"/>
    <w:rsid w:val="00646535"/>
    <w:rsid w:val="0068137A"/>
    <w:rsid w:val="006832C3"/>
    <w:rsid w:val="006B6036"/>
    <w:rsid w:val="006D5F1E"/>
    <w:rsid w:val="00752FF2"/>
    <w:rsid w:val="007860A7"/>
    <w:rsid w:val="007871CA"/>
    <w:rsid w:val="007A4EED"/>
    <w:rsid w:val="007C55C5"/>
    <w:rsid w:val="00856D98"/>
    <w:rsid w:val="00861218"/>
    <w:rsid w:val="00890732"/>
    <w:rsid w:val="008C0A6E"/>
    <w:rsid w:val="008F0423"/>
    <w:rsid w:val="008F2DE2"/>
    <w:rsid w:val="009265D9"/>
    <w:rsid w:val="00950A22"/>
    <w:rsid w:val="009A2974"/>
    <w:rsid w:val="009A563E"/>
    <w:rsid w:val="009B3BD8"/>
    <w:rsid w:val="00A53372"/>
    <w:rsid w:val="00A62A25"/>
    <w:rsid w:val="00AF1856"/>
    <w:rsid w:val="00B05E75"/>
    <w:rsid w:val="00B613DD"/>
    <w:rsid w:val="00BF47F2"/>
    <w:rsid w:val="00C16E99"/>
    <w:rsid w:val="00C20B32"/>
    <w:rsid w:val="00C43D3F"/>
    <w:rsid w:val="00C64341"/>
    <w:rsid w:val="00CA3656"/>
    <w:rsid w:val="00CB3568"/>
    <w:rsid w:val="00CB4F22"/>
    <w:rsid w:val="00CD52B0"/>
    <w:rsid w:val="00D71639"/>
    <w:rsid w:val="00DA284E"/>
    <w:rsid w:val="00DB5BC0"/>
    <w:rsid w:val="00E0356F"/>
    <w:rsid w:val="00E578C7"/>
    <w:rsid w:val="00E7353B"/>
    <w:rsid w:val="00E76878"/>
    <w:rsid w:val="00EC51A2"/>
    <w:rsid w:val="00F243A6"/>
    <w:rsid w:val="00FA3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7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F32FA"/>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641691"/>
    <w:pPr>
      <w:spacing w:after="0"/>
    </w:pPr>
  </w:style>
  <w:style w:type="character" w:styleId="Hyperlink">
    <w:name w:val="Hyperlink"/>
    <w:basedOn w:val="DefaultParagraphFont"/>
    <w:uiPriority w:val="99"/>
    <w:unhideWhenUsed/>
    <w:rsid w:val="00641691"/>
    <w:rPr>
      <w:color w:val="0000FF" w:themeColor="hyperlink"/>
      <w:u w:val="single"/>
    </w:rPr>
  </w:style>
  <w:style w:type="paragraph" w:styleId="BalloonText">
    <w:name w:val="Balloon Text"/>
    <w:basedOn w:val="Normal"/>
    <w:link w:val="BalloonTextChar"/>
    <w:uiPriority w:val="99"/>
    <w:semiHidden/>
    <w:unhideWhenUsed/>
    <w:rsid w:val="00FA3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5E0"/>
    <w:rPr>
      <w:rFonts w:ascii="Tahoma" w:hAnsi="Tahoma" w:cs="Tahoma"/>
      <w:sz w:val="16"/>
      <w:szCs w:val="16"/>
    </w:rPr>
  </w:style>
  <w:style w:type="paragraph" w:styleId="ListParagraph">
    <w:name w:val="List Paragraph"/>
    <w:basedOn w:val="Normal"/>
    <w:uiPriority w:val="34"/>
    <w:qFormat/>
    <w:rsid w:val="00281151"/>
    <w:pPr>
      <w:ind w:left="720"/>
      <w:contextualSpacing/>
    </w:pPr>
  </w:style>
  <w:style w:type="character" w:styleId="FollowedHyperlink">
    <w:name w:val="FollowedHyperlink"/>
    <w:basedOn w:val="DefaultParagraphFont"/>
    <w:uiPriority w:val="99"/>
    <w:semiHidden/>
    <w:unhideWhenUsed/>
    <w:rsid w:val="006D5F1E"/>
    <w:rPr>
      <w:color w:val="800080" w:themeColor="followedHyperlink"/>
      <w:u w:val="single"/>
    </w:rPr>
  </w:style>
  <w:style w:type="paragraph" w:styleId="NormalWeb">
    <w:name w:val="Normal (Web)"/>
    <w:basedOn w:val="Normal"/>
    <w:uiPriority w:val="99"/>
    <w:semiHidden/>
    <w:unhideWhenUsed/>
    <w:rsid w:val="00752FF2"/>
    <w:pPr>
      <w:spacing w:before="100" w:beforeAutospacing="1" w:after="100" w:afterAutospacing="1" w:line="240" w:lineRule="auto"/>
    </w:pPr>
    <w:rPr>
      <w:rFonts w:ascii="Times New Roman" w:eastAsiaTheme="minorEastAsia"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7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F32FA"/>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641691"/>
    <w:pPr>
      <w:spacing w:after="0"/>
    </w:pPr>
  </w:style>
  <w:style w:type="character" w:styleId="Hyperlink">
    <w:name w:val="Hyperlink"/>
    <w:basedOn w:val="DefaultParagraphFont"/>
    <w:uiPriority w:val="99"/>
    <w:unhideWhenUsed/>
    <w:rsid w:val="00641691"/>
    <w:rPr>
      <w:color w:val="0000FF" w:themeColor="hyperlink"/>
      <w:u w:val="single"/>
    </w:rPr>
  </w:style>
  <w:style w:type="paragraph" w:styleId="BalloonText">
    <w:name w:val="Balloon Text"/>
    <w:basedOn w:val="Normal"/>
    <w:link w:val="BalloonTextChar"/>
    <w:uiPriority w:val="99"/>
    <w:semiHidden/>
    <w:unhideWhenUsed/>
    <w:rsid w:val="00FA3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5E0"/>
    <w:rPr>
      <w:rFonts w:ascii="Tahoma" w:hAnsi="Tahoma" w:cs="Tahoma"/>
      <w:sz w:val="16"/>
      <w:szCs w:val="16"/>
    </w:rPr>
  </w:style>
  <w:style w:type="paragraph" w:styleId="ListParagraph">
    <w:name w:val="List Paragraph"/>
    <w:basedOn w:val="Normal"/>
    <w:uiPriority w:val="34"/>
    <w:qFormat/>
    <w:rsid w:val="00281151"/>
    <w:pPr>
      <w:ind w:left="720"/>
      <w:contextualSpacing/>
    </w:pPr>
  </w:style>
  <w:style w:type="character" w:styleId="FollowedHyperlink">
    <w:name w:val="FollowedHyperlink"/>
    <w:basedOn w:val="DefaultParagraphFont"/>
    <w:uiPriority w:val="99"/>
    <w:semiHidden/>
    <w:unhideWhenUsed/>
    <w:rsid w:val="006D5F1E"/>
    <w:rPr>
      <w:color w:val="800080" w:themeColor="followedHyperlink"/>
      <w:u w:val="single"/>
    </w:rPr>
  </w:style>
  <w:style w:type="paragraph" w:styleId="NormalWeb">
    <w:name w:val="Normal (Web)"/>
    <w:basedOn w:val="Normal"/>
    <w:uiPriority w:val="99"/>
    <w:semiHidden/>
    <w:unhideWhenUsed/>
    <w:rsid w:val="00752FF2"/>
    <w:pPr>
      <w:spacing w:before="100" w:beforeAutospacing="1" w:after="100" w:afterAutospacing="1"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hyperlink" Target="http://www.oir.caltech.edu/twiki_oir/bin/viewfile/Keck/NGAO/NIRTTSPreShipReportWorkingPage?rev=1;filename=Mathcad_-_Shipping_analysis_for_TRIC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9870D-BABE-44E4-A4FE-74ED73C9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L. Rodriguez</dc:creator>
  <cp:lastModifiedBy>Hector L. Rodriguez</cp:lastModifiedBy>
  <cp:revision>2</cp:revision>
  <dcterms:created xsi:type="dcterms:W3CDTF">2013-08-15T22:03:00Z</dcterms:created>
  <dcterms:modified xsi:type="dcterms:W3CDTF">2013-08-15T22:03:00Z</dcterms:modified>
</cp:coreProperties>
</file>